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01" w:rsidRDefault="005F3C01" w:rsidP="005F3C01">
      <w:pPr>
        <w:pStyle w:val="1"/>
        <w:spacing w:before="0" w:line="240" w:lineRule="auto"/>
        <w:ind w:left="10773"/>
        <w:rPr>
          <w:rFonts w:ascii="Times New Roman" w:hAnsi="Times New Roman" w:cs="Times New Roman"/>
          <w:b w:val="0"/>
          <w:color w:val="auto"/>
          <w:sz w:val="24"/>
          <w:szCs w:val="24"/>
        </w:rPr>
      </w:pPr>
      <w:r w:rsidRPr="00C63ED8">
        <w:rPr>
          <w:rFonts w:ascii="Times New Roman" w:hAnsi="Times New Roman" w:cs="Times New Roman"/>
          <w:b w:val="0"/>
          <w:color w:val="auto"/>
          <w:sz w:val="24"/>
          <w:szCs w:val="24"/>
        </w:rPr>
        <w:t>Утвержден</w:t>
      </w:r>
      <w:r>
        <w:rPr>
          <w:rFonts w:ascii="Times New Roman" w:hAnsi="Times New Roman" w:cs="Times New Roman"/>
          <w:b w:val="0"/>
          <w:color w:val="auto"/>
          <w:sz w:val="24"/>
          <w:szCs w:val="24"/>
        </w:rPr>
        <w:br/>
      </w:r>
      <w:r w:rsidRPr="00C63ED8">
        <w:rPr>
          <w:rFonts w:ascii="Times New Roman" w:hAnsi="Times New Roman" w:cs="Times New Roman"/>
          <w:b w:val="0"/>
          <w:color w:val="auto"/>
          <w:sz w:val="24"/>
          <w:szCs w:val="24"/>
        </w:rPr>
        <w:t>приказом ОАО «</w:t>
      </w:r>
      <w:r w:rsidR="001625D6">
        <w:rPr>
          <w:rFonts w:ascii="Times New Roman" w:hAnsi="Times New Roman" w:cs="Times New Roman"/>
          <w:b w:val="0"/>
          <w:color w:val="auto"/>
          <w:sz w:val="24"/>
          <w:szCs w:val="24"/>
        </w:rPr>
        <w:t>Электротехнический комплекс»</w:t>
      </w:r>
      <w:r w:rsidRPr="00C63ED8">
        <w:rPr>
          <w:rFonts w:ascii="Times New Roman" w:hAnsi="Times New Roman" w:cs="Times New Roman"/>
          <w:b w:val="0"/>
          <w:color w:val="auto"/>
          <w:sz w:val="24"/>
          <w:szCs w:val="24"/>
        </w:rPr>
        <w:t xml:space="preserve"> от </w:t>
      </w:r>
      <w:r w:rsidR="001625D6">
        <w:rPr>
          <w:rFonts w:ascii="Times New Roman" w:hAnsi="Times New Roman" w:cs="Times New Roman"/>
          <w:b w:val="0"/>
          <w:color w:val="auto"/>
          <w:sz w:val="24"/>
          <w:szCs w:val="24"/>
        </w:rPr>
        <w:t xml:space="preserve"> </w:t>
      </w:r>
      <w:r w:rsidR="00784A38">
        <w:rPr>
          <w:rFonts w:ascii="Times New Roman" w:hAnsi="Times New Roman" w:cs="Times New Roman"/>
          <w:b w:val="0"/>
          <w:color w:val="auto"/>
          <w:sz w:val="24"/>
          <w:szCs w:val="24"/>
        </w:rPr>
        <w:t>29.04.2016г.</w:t>
      </w:r>
      <w:r w:rsidR="001625D6">
        <w:rPr>
          <w:rFonts w:ascii="Times New Roman" w:hAnsi="Times New Roman" w:cs="Times New Roman"/>
          <w:b w:val="0"/>
          <w:color w:val="auto"/>
          <w:sz w:val="24"/>
          <w:szCs w:val="24"/>
        </w:rPr>
        <w:t xml:space="preserve"> </w:t>
      </w:r>
      <w:r w:rsidRPr="00C63ED8">
        <w:rPr>
          <w:rFonts w:ascii="Times New Roman" w:hAnsi="Times New Roman" w:cs="Times New Roman"/>
          <w:b w:val="0"/>
          <w:color w:val="auto"/>
          <w:sz w:val="24"/>
          <w:szCs w:val="24"/>
        </w:rPr>
        <w:t xml:space="preserve"> №</w:t>
      </w:r>
      <w:r w:rsidR="001625D6">
        <w:rPr>
          <w:rFonts w:ascii="Times New Roman" w:hAnsi="Times New Roman" w:cs="Times New Roman"/>
          <w:b w:val="0"/>
          <w:color w:val="auto"/>
          <w:sz w:val="24"/>
          <w:szCs w:val="24"/>
        </w:rPr>
        <w:t xml:space="preserve"> </w:t>
      </w:r>
      <w:r w:rsidR="00784A38">
        <w:rPr>
          <w:rFonts w:ascii="Times New Roman" w:hAnsi="Times New Roman" w:cs="Times New Roman"/>
          <w:b w:val="0"/>
          <w:color w:val="auto"/>
          <w:sz w:val="24"/>
          <w:szCs w:val="24"/>
        </w:rPr>
        <w:t>38</w:t>
      </w:r>
    </w:p>
    <w:p w:rsidR="001625D6" w:rsidRPr="001625D6" w:rsidRDefault="001625D6" w:rsidP="001625D6"/>
    <w:p w:rsidR="005F3C01" w:rsidRPr="00C63ED8" w:rsidRDefault="005F3C01" w:rsidP="005F3C01">
      <w:pPr>
        <w:pStyle w:val="1"/>
        <w:spacing w:before="0"/>
        <w:jc w:val="center"/>
        <w:rPr>
          <w:rFonts w:ascii="Times New Roman" w:hAnsi="Times New Roman" w:cs="Times New Roman"/>
          <w:color w:val="auto"/>
          <w:sz w:val="24"/>
          <w:szCs w:val="24"/>
        </w:rPr>
      </w:pPr>
      <w:r w:rsidRPr="00C63ED8">
        <w:rPr>
          <w:rFonts w:ascii="Times New Roman" w:hAnsi="Times New Roman" w:cs="Times New Roman"/>
          <w:color w:val="auto"/>
          <w:sz w:val="24"/>
          <w:szCs w:val="24"/>
        </w:rPr>
        <w:t xml:space="preserve">ПАСПОРТ УСЛУГИ (ПРОЦЕССА) </w:t>
      </w:r>
      <w:r w:rsidR="004E4587" w:rsidRPr="004E4587">
        <w:rPr>
          <w:rFonts w:ascii="Times New Roman" w:hAnsi="Times New Roman" w:cs="Times New Roman"/>
          <w:color w:val="auto"/>
          <w:sz w:val="24"/>
          <w:szCs w:val="24"/>
        </w:rPr>
        <w:t>ОАО «</w:t>
      </w:r>
      <w:r w:rsidR="001625D6">
        <w:rPr>
          <w:rFonts w:ascii="Times New Roman" w:hAnsi="Times New Roman" w:cs="Times New Roman"/>
          <w:color w:val="auto"/>
          <w:sz w:val="24"/>
          <w:szCs w:val="24"/>
        </w:rPr>
        <w:t>Электротехнический комплекс»</w:t>
      </w:r>
      <w:r w:rsidR="004E4587" w:rsidRPr="004E4587">
        <w:rPr>
          <w:rFonts w:ascii="Times New Roman" w:hAnsi="Times New Roman" w:cs="Times New Roman"/>
          <w:color w:val="auto"/>
          <w:sz w:val="24"/>
          <w:szCs w:val="24"/>
        </w:rPr>
        <w:t xml:space="preserve"> </w:t>
      </w:r>
    </w:p>
    <w:p w:rsidR="00405B1D" w:rsidRPr="005F3C01" w:rsidRDefault="00405B1D" w:rsidP="005F3C01">
      <w:pPr>
        <w:spacing w:after="120"/>
        <w:ind w:left="8222"/>
        <w:rPr>
          <w:rFonts w:ascii="Times New Roman" w:hAnsi="Times New Roman" w:cs="Times New Roman"/>
          <w:sz w:val="24"/>
          <w:szCs w:val="24"/>
        </w:rPr>
      </w:pPr>
    </w:p>
    <w:p w:rsidR="001A5832" w:rsidRPr="001625D6" w:rsidRDefault="00405B1D" w:rsidP="005F3C01">
      <w:pPr>
        <w:autoSpaceDE w:val="0"/>
        <w:autoSpaceDN w:val="0"/>
        <w:adjustRightInd w:val="0"/>
        <w:spacing w:after="0" w:line="240" w:lineRule="auto"/>
        <w:ind w:firstLine="539"/>
        <w:jc w:val="center"/>
        <w:rPr>
          <w:rFonts w:ascii="Times New Roman" w:eastAsiaTheme="majorEastAsia" w:hAnsi="Times New Roman" w:cs="Times New Roman"/>
          <w:b/>
          <w:bCs/>
          <w:sz w:val="24"/>
          <w:szCs w:val="24"/>
        </w:rPr>
      </w:pPr>
      <w:r w:rsidRPr="005F3C01">
        <w:rPr>
          <w:rFonts w:ascii="Times New Roman" w:eastAsiaTheme="majorEastAsia" w:hAnsi="Times New Roman" w:cs="Times New Roman"/>
          <w:b/>
          <w:bCs/>
          <w:color w:val="548DD4" w:themeColor="text2" w:themeTint="99"/>
          <w:sz w:val="24"/>
          <w:szCs w:val="24"/>
        </w:rPr>
        <w:t xml:space="preserve"> </w:t>
      </w:r>
      <w:r w:rsidR="001A5832" w:rsidRPr="001625D6">
        <w:rPr>
          <w:rFonts w:ascii="Times New Roman" w:eastAsiaTheme="majorEastAsia" w:hAnsi="Times New Roman" w:cs="Times New Roman"/>
          <w:b/>
          <w:bCs/>
          <w:sz w:val="24"/>
          <w:szCs w:val="24"/>
        </w:rPr>
        <w:t>РАСЧЕТ ОБЪЕМА ПЕРЕДАННОЙ ЭЛЕКТРИЧЕСКОЙ ЭНЕРГИИ ПОТРЕБИТЕЛЮ</w:t>
      </w:r>
      <w:bookmarkStart w:id="0" w:name="_GoBack"/>
      <w:bookmarkEnd w:id="0"/>
    </w:p>
    <w:p w:rsidR="005F3C01" w:rsidRPr="004E4587" w:rsidRDefault="005F3C01" w:rsidP="005F3C01">
      <w:pPr>
        <w:autoSpaceDE w:val="0"/>
        <w:autoSpaceDN w:val="0"/>
        <w:adjustRightInd w:val="0"/>
        <w:spacing w:after="0" w:line="240" w:lineRule="auto"/>
        <w:ind w:firstLine="539"/>
        <w:jc w:val="center"/>
        <w:rPr>
          <w:rFonts w:ascii="Times New Roman" w:hAnsi="Times New Roman" w:cs="Times New Roman"/>
          <w:b/>
          <w:bCs/>
          <w:sz w:val="24"/>
          <w:szCs w:val="24"/>
        </w:rPr>
      </w:pPr>
    </w:p>
    <w:p w:rsidR="00584BD8" w:rsidRPr="001625D6" w:rsidRDefault="008C2E25" w:rsidP="005F3C01">
      <w:pPr>
        <w:spacing w:after="0" w:line="240" w:lineRule="auto"/>
        <w:jc w:val="both"/>
        <w:rPr>
          <w:rFonts w:ascii="Times New Roman" w:hAnsi="Times New Roman" w:cs="Times New Roman"/>
          <w:sz w:val="24"/>
          <w:szCs w:val="24"/>
        </w:rPr>
      </w:pPr>
      <w:r w:rsidRPr="001625D6">
        <w:rPr>
          <w:rFonts w:ascii="Times New Roman" w:hAnsi="Times New Roman" w:cs="Times New Roman"/>
          <w:b/>
          <w:sz w:val="24"/>
          <w:szCs w:val="24"/>
        </w:rPr>
        <w:t>КРУГ ЗАЯВИТЕЛЕЙ</w:t>
      </w:r>
      <w:r w:rsidR="009064E3" w:rsidRPr="001625D6">
        <w:rPr>
          <w:rFonts w:ascii="Times New Roman" w:hAnsi="Times New Roman" w:cs="Times New Roman"/>
          <w:b/>
          <w:sz w:val="24"/>
          <w:szCs w:val="24"/>
        </w:rPr>
        <w:t xml:space="preserve"> (ПОТРЕБИТЕЛЕЙ)</w:t>
      </w:r>
      <w:r w:rsidR="000653F9" w:rsidRPr="001625D6">
        <w:rPr>
          <w:rFonts w:ascii="Times New Roman" w:hAnsi="Times New Roman" w:cs="Times New Roman"/>
          <w:b/>
          <w:sz w:val="24"/>
          <w:szCs w:val="24"/>
        </w:rPr>
        <w:t xml:space="preserve">: </w:t>
      </w:r>
      <w:r w:rsidR="006D2507" w:rsidRPr="001625D6">
        <w:rPr>
          <w:rFonts w:ascii="Times New Roman" w:hAnsi="Times New Roman" w:cs="Times New Roman"/>
          <w:sz w:val="24"/>
          <w:szCs w:val="24"/>
        </w:rPr>
        <w:t>юридические  лица, индивидуальные предприниматели</w:t>
      </w:r>
      <w:r w:rsidR="00FA71E0" w:rsidRPr="001625D6">
        <w:rPr>
          <w:rFonts w:ascii="Times New Roman" w:hAnsi="Times New Roman" w:cs="Times New Roman"/>
          <w:sz w:val="24"/>
          <w:szCs w:val="24"/>
        </w:rPr>
        <w:t>.</w:t>
      </w:r>
    </w:p>
    <w:p w:rsidR="005B627E" w:rsidRPr="001625D6" w:rsidRDefault="008C2E25" w:rsidP="005F3C01">
      <w:pPr>
        <w:pStyle w:val="ConsPlusNonformat"/>
        <w:jc w:val="both"/>
        <w:rPr>
          <w:rFonts w:ascii="Times New Roman" w:hAnsi="Times New Roman" w:cs="Times New Roman"/>
          <w:sz w:val="24"/>
          <w:szCs w:val="24"/>
        </w:rPr>
      </w:pPr>
      <w:r w:rsidRPr="001625D6">
        <w:rPr>
          <w:rFonts w:ascii="Times New Roman" w:hAnsi="Times New Roman" w:cs="Times New Roman"/>
          <w:b/>
          <w:sz w:val="24"/>
          <w:szCs w:val="24"/>
        </w:rPr>
        <w:t>РАЗМЕР ПЛАТЫ ЗА ПРЕДОСТАВЛЕНИЕ УСЛУГИ (ПРОЦЕССА) И ОСНОВАНИЕ ЕЕ ВЗИМАНИЯ:</w:t>
      </w:r>
      <w:r w:rsidR="00022F24" w:rsidRPr="001625D6">
        <w:rPr>
          <w:rFonts w:ascii="Times New Roman" w:hAnsi="Times New Roman" w:cs="Times New Roman"/>
          <w:b/>
          <w:sz w:val="24"/>
          <w:szCs w:val="24"/>
        </w:rPr>
        <w:t xml:space="preserve"> </w:t>
      </w:r>
      <w:r w:rsidR="002F4276" w:rsidRPr="001625D6">
        <w:rPr>
          <w:rFonts w:ascii="Times New Roman" w:hAnsi="Times New Roman" w:cs="Times New Roman"/>
          <w:sz w:val="24"/>
          <w:szCs w:val="24"/>
        </w:rPr>
        <w:t>п</w:t>
      </w:r>
      <w:r w:rsidR="00584BD8" w:rsidRPr="001625D6">
        <w:rPr>
          <w:rFonts w:ascii="Times New Roman" w:hAnsi="Times New Roman" w:cs="Times New Roman"/>
          <w:sz w:val="24"/>
          <w:szCs w:val="24"/>
        </w:rPr>
        <w:t xml:space="preserve">лата </w:t>
      </w:r>
      <w:r w:rsidR="00741823" w:rsidRPr="001625D6">
        <w:rPr>
          <w:rFonts w:ascii="Times New Roman" w:hAnsi="Times New Roman" w:cs="Times New Roman"/>
          <w:sz w:val="24"/>
          <w:szCs w:val="24"/>
        </w:rPr>
        <w:t xml:space="preserve">не предусмотрена и </w:t>
      </w:r>
      <w:r w:rsidR="006D2507" w:rsidRPr="001625D6">
        <w:rPr>
          <w:rFonts w:ascii="Times New Roman" w:hAnsi="Times New Roman" w:cs="Times New Roman"/>
          <w:sz w:val="24"/>
          <w:szCs w:val="24"/>
        </w:rPr>
        <w:t>не взимается</w:t>
      </w:r>
      <w:r w:rsidR="005B627E" w:rsidRPr="001625D6">
        <w:rPr>
          <w:rFonts w:ascii="Times New Roman" w:hAnsi="Times New Roman" w:cs="Times New Roman"/>
          <w:sz w:val="24"/>
          <w:szCs w:val="24"/>
        </w:rPr>
        <w:t>.</w:t>
      </w:r>
    </w:p>
    <w:p w:rsidR="00CA1A51" w:rsidRPr="001625D6" w:rsidRDefault="008C2E25" w:rsidP="005F3C01">
      <w:pPr>
        <w:autoSpaceDE w:val="0"/>
        <w:autoSpaceDN w:val="0"/>
        <w:adjustRightInd w:val="0"/>
        <w:spacing w:after="0" w:line="240" w:lineRule="auto"/>
        <w:jc w:val="both"/>
        <w:rPr>
          <w:rFonts w:ascii="Times New Roman" w:hAnsi="Times New Roman" w:cs="Times New Roman"/>
          <w:sz w:val="24"/>
          <w:szCs w:val="24"/>
        </w:rPr>
      </w:pPr>
      <w:r w:rsidRPr="001625D6">
        <w:rPr>
          <w:rFonts w:ascii="Times New Roman" w:hAnsi="Times New Roman" w:cs="Times New Roman"/>
          <w:b/>
          <w:sz w:val="24"/>
          <w:szCs w:val="24"/>
        </w:rPr>
        <w:t>УСЛОВИЯ ОКАЗАНИЯ УСЛУГИ (ПРОЦЕССА):</w:t>
      </w:r>
      <w:r w:rsidR="00CA1A51" w:rsidRPr="001625D6">
        <w:rPr>
          <w:rFonts w:ascii="Times New Roman" w:hAnsi="Times New Roman" w:cs="Times New Roman"/>
          <w:sz w:val="24"/>
          <w:szCs w:val="24"/>
        </w:rPr>
        <w:t xml:space="preserve"> </w:t>
      </w:r>
      <w:r w:rsidR="00C1276E" w:rsidRPr="001625D6">
        <w:rPr>
          <w:rFonts w:ascii="Times New Roman" w:hAnsi="Times New Roman" w:cs="Times New Roman"/>
          <w:sz w:val="24"/>
          <w:szCs w:val="24"/>
        </w:rPr>
        <w:t xml:space="preserve">наличие заключенного </w:t>
      </w:r>
      <w:r w:rsidR="00956012" w:rsidRPr="001625D6">
        <w:rPr>
          <w:rFonts w:ascii="Times New Roman" w:hAnsi="Times New Roman" w:cs="Times New Roman"/>
          <w:sz w:val="24"/>
          <w:szCs w:val="24"/>
        </w:rPr>
        <w:t xml:space="preserve">с </w:t>
      </w:r>
      <w:r w:rsidR="00246177" w:rsidRPr="001625D6">
        <w:rPr>
          <w:rFonts w:ascii="Times New Roman" w:hAnsi="Times New Roman" w:cs="Times New Roman"/>
          <w:sz w:val="24"/>
          <w:szCs w:val="24"/>
        </w:rPr>
        <w:t>сетевой организацией</w:t>
      </w:r>
      <w:r w:rsidR="004E4587" w:rsidRPr="001625D6">
        <w:rPr>
          <w:rFonts w:ascii="Times New Roman" w:hAnsi="Times New Roman" w:cs="Times New Roman"/>
          <w:sz w:val="24"/>
          <w:szCs w:val="24"/>
        </w:rPr>
        <w:t xml:space="preserve"> </w:t>
      </w:r>
      <w:r w:rsidR="00C1276E" w:rsidRPr="001625D6">
        <w:rPr>
          <w:rFonts w:ascii="Times New Roman" w:hAnsi="Times New Roman" w:cs="Times New Roman"/>
          <w:sz w:val="24"/>
          <w:szCs w:val="24"/>
        </w:rPr>
        <w:t>договора оказания услуг по передаче электрической энергии</w:t>
      </w:r>
      <w:r w:rsidR="005F3C01" w:rsidRPr="001625D6">
        <w:rPr>
          <w:rFonts w:ascii="Times New Roman" w:hAnsi="Times New Roman" w:cs="Times New Roman"/>
          <w:sz w:val="24"/>
          <w:szCs w:val="24"/>
        </w:rPr>
        <w:t>, процесс осуществляется в рамках оказания услуг по передаче электрической энергии</w:t>
      </w:r>
      <w:r w:rsidR="00CA1A51" w:rsidRPr="001625D6">
        <w:rPr>
          <w:rFonts w:ascii="Times New Roman" w:hAnsi="Times New Roman" w:cs="Times New Roman"/>
          <w:sz w:val="24"/>
          <w:szCs w:val="24"/>
        </w:rPr>
        <w:t>.</w:t>
      </w:r>
    </w:p>
    <w:p w:rsidR="00A210DB" w:rsidRPr="001625D6" w:rsidRDefault="008C2E25" w:rsidP="005F3C01">
      <w:pPr>
        <w:autoSpaceDE w:val="0"/>
        <w:autoSpaceDN w:val="0"/>
        <w:adjustRightInd w:val="0"/>
        <w:spacing w:after="0" w:line="240" w:lineRule="auto"/>
        <w:jc w:val="both"/>
        <w:rPr>
          <w:rFonts w:ascii="Times New Roman" w:hAnsi="Times New Roman" w:cs="Times New Roman"/>
          <w:sz w:val="24"/>
          <w:szCs w:val="24"/>
        </w:rPr>
      </w:pPr>
      <w:r w:rsidRPr="001625D6">
        <w:rPr>
          <w:rFonts w:ascii="Times New Roman" w:hAnsi="Times New Roman" w:cs="Times New Roman"/>
          <w:b/>
          <w:sz w:val="24"/>
          <w:szCs w:val="24"/>
        </w:rPr>
        <w:t xml:space="preserve">РЕЗУЛЬТАТ ОКАЗАНИЯ УСЛУГИ (ПРОЦЕССА): </w:t>
      </w:r>
      <w:r w:rsidR="00C1276E" w:rsidRPr="001625D6">
        <w:rPr>
          <w:rFonts w:ascii="Times New Roman" w:hAnsi="Times New Roman" w:cs="Times New Roman"/>
          <w:sz w:val="24"/>
          <w:szCs w:val="24"/>
        </w:rPr>
        <w:t>расчет объема переданной электрической энергии</w:t>
      </w:r>
      <w:r w:rsidR="001C63E0" w:rsidRPr="001625D6">
        <w:rPr>
          <w:rFonts w:ascii="Times New Roman" w:hAnsi="Times New Roman" w:cs="Times New Roman"/>
          <w:sz w:val="24"/>
          <w:szCs w:val="24"/>
        </w:rPr>
        <w:t xml:space="preserve"> </w:t>
      </w:r>
      <w:r w:rsidR="00C1276E" w:rsidRPr="001625D6">
        <w:rPr>
          <w:rFonts w:ascii="Times New Roman" w:hAnsi="Times New Roman" w:cs="Times New Roman"/>
          <w:sz w:val="24"/>
          <w:szCs w:val="24"/>
        </w:rPr>
        <w:t>потребителю</w:t>
      </w:r>
      <w:r w:rsidR="00A210DB" w:rsidRPr="001625D6">
        <w:rPr>
          <w:rFonts w:ascii="Times New Roman" w:hAnsi="Times New Roman" w:cs="Times New Roman"/>
          <w:sz w:val="24"/>
          <w:szCs w:val="24"/>
        </w:rPr>
        <w:t>.</w:t>
      </w:r>
    </w:p>
    <w:p w:rsidR="000653F9" w:rsidRPr="001625D6" w:rsidRDefault="008C2E25" w:rsidP="005F3C01">
      <w:pPr>
        <w:spacing w:after="0" w:line="240" w:lineRule="auto"/>
        <w:jc w:val="both"/>
        <w:outlineLvl w:val="0"/>
        <w:rPr>
          <w:rFonts w:ascii="Times New Roman" w:hAnsi="Times New Roman" w:cs="Times New Roman"/>
          <w:b/>
          <w:sz w:val="24"/>
          <w:szCs w:val="24"/>
        </w:rPr>
      </w:pPr>
      <w:r w:rsidRPr="001625D6">
        <w:rPr>
          <w:rFonts w:ascii="Times New Roman" w:hAnsi="Times New Roman" w:cs="Times New Roman"/>
          <w:b/>
          <w:sz w:val="24"/>
          <w:szCs w:val="24"/>
        </w:rPr>
        <w:t>СОСТАВ, ПОСЛЕДОВАТЕЛЬНОСТЬ И СРОКИ ОКАЗАНИЯ УСЛУГИ (ПРОЦЕССА):</w:t>
      </w:r>
    </w:p>
    <w:tbl>
      <w:tblPr>
        <w:tblStyle w:val="-110"/>
        <w:tblW w:w="4923" w:type="pct"/>
        <w:tblInd w:w="108" w:type="dxa"/>
        <w:tblLayout w:type="fixed"/>
        <w:tblLook w:val="00A0"/>
      </w:tblPr>
      <w:tblGrid>
        <w:gridCol w:w="568"/>
        <w:gridCol w:w="1834"/>
        <w:gridCol w:w="2602"/>
        <w:gridCol w:w="2650"/>
        <w:gridCol w:w="1919"/>
        <w:gridCol w:w="2439"/>
        <w:gridCol w:w="2268"/>
      </w:tblGrid>
      <w:tr w:rsidR="005F3C01" w:rsidRPr="005F3C01" w:rsidTr="00D438C7">
        <w:trPr>
          <w:cnfStyle w:val="100000000000"/>
          <w:tblHeader/>
        </w:trPr>
        <w:tc>
          <w:tcPr>
            <w:cnfStyle w:val="001000000000"/>
            <w:tcW w:w="199" w:type="pct"/>
            <w:tcBorders>
              <w:top w:val="single" w:sz="8" w:space="0" w:color="4F81BD" w:themeColor="accent1"/>
              <w:bottom w:val="double" w:sz="4" w:space="0" w:color="4F81BD" w:themeColor="accent1"/>
            </w:tcBorders>
            <w:shd w:val="clear" w:color="auto" w:fill="BFBFBF" w:themeFill="background1" w:themeFillShade="BF"/>
          </w:tcPr>
          <w:p w:rsidR="009D7322" w:rsidRPr="00D438C7" w:rsidRDefault="009D7322" w:rsidP="008C2E25">
            <w:pPr>
              <w:jc w:val="center"/>
              <w:rPr>
                <w:rFonts w:ascii="Times New Roman" w:eastAsia="Times New Roman" w:hAnsi="Times New Roman" w:cs="Times New Roman"/>
                <w:color w:val="auto"/>
                <w:lang w:eastAsia="ru-RU"/>
              </w:rPr>
            </w:pPr>
            <w:r w:rsidRPr="00D438C7">
              <w:rPr>
                <w:rFonts w:ascii="Times New Roman" w:eastAsia="Times New Roman" w:hAnsi="Times New Roman" w:cs="Times New Roman"/>
                <w:color w:val="auto"/>
                <w:lang w:eastAsia="ru-RU"/>
              </w:rPr>
              <w:t>№</w:t>
            </w:r>
          </w:p>
        </w:tc>
        <w:tc>
          <w:tcPr>
            <w:cnfStyle w:val="000010000000"/>
            <w:tcW w:w="642" w:type="pct"/>
            <w:tcBorders>
              <w:bottom w:val="double" w:sz="4" w:space="0" w:color="4F81BD" w:themeColor="accent1"/>
              <w:right w:val="single" w:sz="4" w:space="0" w:color="FFFFFF" w:themeColor="background1"/>
            </w:tcBorders>
            <w:shd w:val="clear" w:color="auto" w:fill="BFBFBF" w:themeFill="background1" w:themeFillShade="BF"/>
          </w:tcPr>
          <w:p w:rsidR="009D7322" w:rsidRPr="00D438C7" w:rsidRDefault="009D7322" w:rsidP="008C2E25">
            <w:pPr>
              <w:jc w:val="center"/>
              <w:rPr>
                <w:rFonts w:ascii="Times New Roman" w:eastAsia="Times New Roman" w:hAnsi="Times New Roman" w:cs="Times New Roman"/>
                <w:color w:val="auto"/>
                <w:lang w:eastAsia="ru-RU"/>
              </w:rPr>
            </w:pPr>
            <w:r w:rsidRPr="00D438C7">
              <w:rPr>
                <w:rFonts w:ascii="Times New Roman" w:eastAsia="Times New Roman" w:hAnsi="Times New Roman" w:cs="Times New Roman"/>
                <w:color w:val="auto"/>
                <w:lang w:eastAsia="ru-RU"/>
              </w:rPr>
              <w:t>Этап</w:t>
            </w:r>
          </w:p>
        </w:tc>
        <w:tc>
          <w:tcPr>
            <w:tcW w:w="911"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shd w:val="clear" w:color="auto" w:fill="BFBFBF" w:themeFill="background1" w:themeFillShade="BF"/>
          </w:tcPr>
          <w:p w:rsidR="009D7322" w:rsidRPr="00D438C7" w:rsidRDefault="009D7322" w:rsidP="008C2E25">
            <w:pPr>
              <w:jc w:val="center"/>
              <w:cnfStyle w:val="100000000000"/>
              <w:rPr>
                <w:rFonts w:ascii="Times New Roman" w:eastAsia="Times New Roman" w:hAnsi="Times New Roman" w:cs="Times New Roman"/>
                <w:color w:val="auto"/>
                <w:lang w:eastAsia="ru-RU"/>
              </w:rPr>
            </w:pPr>
            <w:r w:rsidRPr="00D438C7">
              <w:rPr>
                <w:rFonts w:ascii="Times New Roman" w:eastAsia="Times New Roman" w:hAnsi="Times New Roman" w:cs="Times New Roman"/>
                <w:color w:val="auto"/>
                <w:lang w:eastAsia="ru-RU"/>
              </w:rPr>
              <w:t>Условие этапа</w:t>
            </w:r>
          </w:p>
        </w:tc>
        <w:tc>
          <w:tcPr>
            <w:cnfStyle w:val="000010000000"/>
            <w:tcW w:w="928" w:type="pct"/>
            <w:tcBorders>
              <w:left w:val="single" w:sz="4" w:space="0" w:color="FFFFFF" w:themeColor="background1"/>
              <w:bottom w:val="double" w:sz="4" w:space="0" w:color="4F81BD" w:themeColor="accent1"/>
              <w:right w:val="single" w:sz="4" w:space="0" w:color="FFFFFF" w:themeColor="background1"/>
            </w:tcBorders>
            <w:shd w:val="clear" w:color="auto" w:fill="BFBFBF" w:themeFill="background1" w:themeFillShade="BF"/>
          </w:tcPr>
          <w:p w:rsidR="009D7322" w:rsidRPr="00D438C7" w:rsidRDefault="009D7322" w:rsidP="009D7322">
            <w:pPr>
              <w:jc w:val="center"/>
              <w:rPr>
                <w:rFonts w:ascii="Times New Roman" w:eastAsia="Times New Roman" w:hAnsi="Times New Roman" w:cs="Times New Roman"/>
                <w:color w:val="auto"/>
                <w:lang w:eastAsia="ru-RU"/>
              </w:rPr>
            </w:pPr>
            <w:r w:rsidRPr="00D438C7">
              <w:rPr>
                <w:rFonts w:ascii="Times New Roman" w:eastAsia="Times New Roman" w:hAnsi="Times New Roman" w:cs="Times New Roman"/>
                <w:color w:val="auto"/>
                <w:lang w:eastAsia="ru-RU"/>
              </w:rPr>
              <w:t>Содержание</w:t>
            </w:r>
          </w:p>
        </w:tc>
        <w:tc>
          <w:tcPr>
            <w:tcW w:w="672"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shd w:val="clear" w:color="auto" w:fill="BFBFBF" w:themeFill="background1" w:themeFillShade="BF"/>
          </w:tcPr>
          <w:p w:rsidR="009D7322" w:rsidRPr="00D438C7" w:rsidRDefault="009D7322" w:rsidP="008C2E25">
            <w:pPr>
              <w:jc w:val="center"/>
              <w:cnfStyle w:val="100000000000"/>
              <w:rPr>
                <w:rFonts w:ascii="Times New Roman" w:eastAsia="Times New Roman" w:hAnsi="Times New Roman" w:cs="Times New Roman"/>
                <w:color w:val="auto"/>
                <w:lang w:eastAsia="ru-RU"/>
              </w:rPr>
            </w:pPr>
            <w:r w:rsidRPr="00D438C7">
              <w:rPr>
                <w:rFonts w:ascii="Times New Roman" w:eastAsia="Times New Roman" w:hAnsi="Times New Roman" w:cs="Times New Roman"/>
                <w:color w:val="auto"/>
                <w:lang w:eastAsia="ru-RU"/>
              </w:rPr>
              <w:t>Форма предоставления</w:t>
            </w:r>
          </w:p>
        </w:tc>
        <w:tc>
          <w:tcPr>
            <w:cnfStyle w:val="000010000000"/>
            <w:tcW w:w="854" w:type="pct"/>
            <w:tcBorders>
              <w:left w:val="single" w:sz="4" w:space="0" w:color="FFFFFF" w:themeColor="background1"/>
              <w:bottom w:val="double" w:sz="4" w:space="0" w:color="4F81BD" w:themeColor="accent1"/>
              <w:right w:val="single" w:sz="4" w:space="0" w:color="FFFFFF" w:themeColor="background1"/>
            </w:tcBorders>
            <w:shd w:val="clear" w:color="auto" w:fill="BFBFBF" w:themeFill="background1" w:themeFillShade="BF"/>
          </w:tcPr>
          <w:p w:rsidR="009D7322" w:rsidRPr="00D438C7" w:rsidRDefault="009D7322" w:rsidP="008C2E25">
            <w:pPr>
              <w:jc w:val="center"/>
              <w:rPr>
                <w:rFonts w:ascii="Times New Roman" w:eastAsia="Times New Roman" w:hAnsi="Times New Roman" w:cs="Times New Roman"/>
                <w:color w:val="auto"/>
                <w:lang w:eastAsia="ru-RU"/>
              </w:rPr>
            </w:pPr>
            <w:r w:rsidRPr="00D438C7">
              <w:rPr>
                <w:rFonts w:ascii="Times New Roman" w:eastAsia="Times New Roman" w:hAnsi="Times New Roman" w:cs="Times New Roman"/>
                <w:color w:val="auto"/>
                <w:lang w:eastAsia="ru-RU"/>
              </w:rPr>
              <w:t>Срок исполнения</w:t>
            </w:r>
          </w:p>
        </w:tc>
        <w:tc>
          <w:tcPr>
            <w:tcW w:w="794" w:type="pct"/>
            <w:tcBorders>
              <w:top w:val="single" w:sz="8" w:space="0" w:color="4F81BD" w:themeColor="accent1"/>
              <w:left w:val="single" w:sz="4" w:space="0" w:color="FFFFFF" w:themeColor="background1"/>
              <w:bottom w:val="double" w:sz="4" w:space="0" w:color="4F81BD" w:themeColor="accent1"/>
            </w:tcBorders>
            <w:shd w:val="clear" w:color="auto" w:fill="BFBFBF" w:themeFill="background1" w:themeFillShade="BF"/>
          </w:tcPr>
          <w:p w:rsidR="009D7322" w:rsidRPr="00D438C7" w:rsidRDefault="009D7322" w:rsidP="008C2E25">
            <w:pPr>
              <w:jc w:val="center"/>
              <w:cnfStyle w:val="100000000000"/>
              <w:rPr>
                <w:rFonts w:ascii="Times New Roman" w:eastAsia="Times New Roman" w:hAnsi="Times New Roman" w:cs="Times New Roman"/>
                <w:color w:val="auto"/>
                <w:lang w:eastAsia="ru-RU"/>
              </w:rPr>
            </w:pPr>
            <w:r w:rsidRPr="00D438C7">
              <w:rPr>
                <w:rFonts w:ascii="Times New Roman" w:eastAsia="Times New Roman" w:hAnsi="Times New Roman" w:cs="Times New Roman"/>
                <w:color w:val="auto"/>
                <w:lang w:eastAsia="ru-RU"/>
              </w:rPr>
              <w:t>Ссылка на нормативно правовой акт</w:t>
            </w:r>
          </w:p>
        </w:tc>
      </w:tr>
      <w:tr w:rsidR="005F3C01" w:rsidRPr="005F3C01" w:rsidTr="005F3C01">
        <w:trPr>
          <w:cnfStyle w:val="000000100000"/>
        </w:trPr>
        <w:tc>
          <w:tcPr>
            <w:cnfStyle w:val="001000000000"/>
            <w:tcW w:w="199" w:type="pct"/>
            <w:tcBorders>
              <w:top w:val="double" w:sz="4" w:space="0" w:color="4F81BD" w:themeColor="accent1"/>
            </w:tcBorders>
          </w:tcPr>
          <w:p w:rsidR="00272907" w:rsidRPr="00D438C7" w:rsidRDefault="00272907" w:rsidP="00E36F56">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t>1</w:t>
            </w:r>
          </w:p>
        </w:tc>
        <w:tc>
          <w:tcPr>
            <w:cnfStyle w:val="000010000000"/>
            <w:tcW w:w="642" w:type="pct"/>
            <w:tcBorders>
              <w:top w:val="double" w:sz="4" w:space="0" w:color="4F81BD" w:themeColor="accent1"/>
            </w:tcBorders>
          </w:tcPr>
          <w:p w:rsidR="00711D93" w:rsidRPr="005F3C01" w:rsidRDefault="00711D93" w:rsidP="00711D93">
            <w:pPr>
              <w:jc w:val="both"/>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Снятие показаний приборов учета электрической энергии потребителем</w:t>
            </w:r>
          </w:p>
          <w:p w:rsidR="00272907" w:rsidRPr="005F3C01" w:rsidRDefault="00272907" w:rsidP="00AA2827">
            <w:pPr>
              <w:autoSpaceDE w:val="0"/>
              <w:rPr>
                <w:rFonts w:ascii="Times New Roman" w:hAnsi="Times New Roman"/>
              </w:rPr>
            </w:pPr>
          </w:p>
        </w:tc>
        <w:tc>
          <w:tcPr>
            <w:tcW w:w="911" w:type="pct"/>
            <w:tcBorders>
              <w:top w:val="double" w:sz="4" w:space="0" w:color="4F81BD" w:themeColor="accent1"/>
            </w:tcBorders>
          </w:tcPr>
          <w:p w:rsidR="00272907" w:rsidRPr="005F3C01" w:rsidRDefault="00711D93" w:rsidP="00405006">
            <w:pPr>
              <w:autoSpaceDE w:val="0"/>
              <w:snapToGrid w:val="0"/>
              <w:cnfStyle w:val="000000100000"/>
              <w:rPr>
                <w:rFonts w:ascii="Times New Roman" w:hAnsi="Times New Roman"/>
              </w:rPr>
            </w:pPr>
            <w:r w:rsidRPr="005F3C01">
              <w:rPr>
                <w:rFonts w:ascii="Times New Roman" w:eastAsia="Times New Roman" w:hAnsi="Times New Roman" w:cs="Times New Roman"/>
                <w:lang w:eastAsia="ru-RU"/>
              </w:rPr>
              <w:t xml:space="preserve">Наличие заключенного с </w:t>
            </w:r>
            <w:r w:rsidR="00405006">
              <w:rPr>
                <w:rFonts w:ascii="Times New Roman" w:hAnsi="Times New Roman" w:cs="Times New Roman"/>
                <w:sz w:val="24"/>
                <w:szCs w:val="24"/>
              </w:rPr>
              <w:t>сетевой организацией</w:t>
            </w:r>
            <w:r w:rsidR="004E4587" w:rsidRPr="005152BE">
              <w:rPr>
                <w:rFonts w:ascii="Times New Roman" w:hAnsi="Times New Roman" w:cs="Times New Roman"/>
                <w:sz w:val="24"/>
                <w:szCs w:val="24"/>
              </w:rPr>
              <w:t xml:space="preserve"> </w:t>
            </w:r>
            <w:r w:rsidRPr="005F3C01">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tcW w:w="928" w:type="pct"/>
            <w:tcBorders>
              <w:top w:val="double" w:sz="4" w:space="0" w:color="4F81BD" w:themeColor="accent1"/>
            </w:tcBorders>
          </w:tcPr>
          <w:p w:rsidR="00272907" w:rsidRPr="005F3C01" w:rsidRDefault="00711D93" w:rsidP="00AA2827">
            <w:pPr>
              <w:autoSpaceDE w:val="0"/>
              <w:snapToGrid w:val="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Осуществляется потребителем электрической энергии самостоятельно</w:t>
            </w:r>
          </w:p>
        </w:tc>
        <w:tc>
          <w:tcPr>
            <w:tcW w:w="672" w:type="pct"/>
            <w:tcBorders>
              <w:top w:val="double" w:sz="4" w:space="0" w:color="4F81BD" w:themeColor="accent1"/>
            </w:tcBorders>
          </w:tcPr>
          <w:p w:rsidR="00272907" w:rsidRPr="005F3C01" w:rsidRDefault="00D438C7" w:rsidP="00D438C7">
            <w:pPr>
              <w:autoSpaceDE w:val="0"/>
              <w:snapToGrid w:val="0"/>
              <w:cnfStyle w:val="00000010000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11D93" w:rsidRPr="005F3C01">
              <w:rPr>
                <w:rFonts w:ascii="Times New Roman" w:eastAsia="Times New Roman" w:hAnsi="Times New Roman" w:cs="Times New Roman"/>
                <w:lang w:eastAsia="ru-RU"/>
              </w:rPr>
              <w:t xml:space="preserve">Визуально </w:t>
            </w:r>
          </w:p>
        </w:tc>
        <w:tc>
          <w:tcPr>
            <w:cnfStyle w:val="000010000000"/>
            <w:tcW w:w="854" w:type="pct"/>
            <w:tcBorders>
              <w:top w:val="double" w:sz="4" w:space="0" w:color="4F81BD" w:themeColor="accent1"/>
            </w:tcBorders>
          </w:tcPr>
          <w:p w:rsidR="00711D93" w:rsidRPr="005F3C01" w:rsidRDefault="00711D93" w:rsidP="00711D93">
            <w:pPr>
              <w:autoSpaceDE w:val="0"/>
              <w:snapToGrid w:val="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00 часов 00 минут 1-го дня месяца следующего за рас</w:t>
            </w:r>
            <w:r w:rsidR="00326673">
              <w:rPr>
                <w:rFonts w:ascii="Times New Roman" w:eastAsia="Times New Roman" w:hAnsi="Times New Roman" w:cs="Times New Roman"/>
                <w:lang w:eastAsia="ru-RU"/>
              </w:rPr>
              <w:t>четным - для всех потребителей</w:t>
            </w:r>
          </w:p>
          <w:p w:rsidR="00711D93" w:rsidRPr="005F3C01" w:rsidRDefault="00711D93" w:rsidP="00711D93">
            <w:pPr>
              <w:autoSpaceDE w:val="0"/>
              <w:snapToGrid w:val="0"/>
              <w:rPr>
                <w:rFonts w:ascii="Times New Roman" w:eastAsia="Times New Roman" w:hAnsi="Times New Roman" w:cs="Times New Roman"/>
                <w:lang w:eastAsia="ru-RU"/>
              </w:rPr>
            </w:pPr>
          </w:p>
          <w:p w:rsidR="00272907" w:rsidRPr="005F3C01" w:rsidRDefault="00272907" w:rsidP="00AA2827">
            <w:pPr>
              <w:autoSpaceDE w:val="0"/>
              <w:snapToGrid w:val="0"/>
              <w:rPr>
                <w:rFonts w:ascii="Times New Roman" w:hAnsi="Times New Roman" w:cs="Times New Roman"/>
              </w:rPr>
            </w:pPr>
          </w:p>
        </w:tc>
        <w:tc>
          <w:tcPr>
            <w:tcW w:w="794" w:type="pct"/>
            <w:tcBorders>
              <w:top w:val="double" w:sz="4" w:space="0" w:color="4F81BD" w:themeColor="accent1"/>
            </w:tcBorders>
          </w:tcPr>
          <w:p w:rsidR="00711D93" w:rsidRPr="005F3C01" w:rsidRDefault="00711D93" w:rsidP="00711D93">
            <w:pPr>
              <w:autoSpaceDE w:val="0"/>
              <w:snapToGrid w:val="0"/>
              <w:cnfStyle w:val="00000010000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Пункт</w:t>
            </w:r>
            <w:r w:rsidR="00272907" w:rsidRPr="005F3C01">
              <w:rPr>
                <w:rFonts w:ascii="Times New Roman" w:eastAsia="Times New Roman" w:hAnsi="Times New Roman" w:cs="Times New Roman"/>
                <w:lang w:eastAsia="ru-RU"/>
              </w:rPr>
              <w:t xml:space="preserve"> 161 Основ функционирования розничных рынков электрической энергии</w:t>
            </w:r>
            <w:r w:rsidR="00272907" w:rsidRPr="005F3C01">
              <w:rPr>
                <w:rStyle w:val="ae"/>
                <w:rFonts w:ascii="Times New Roman" w:eastAsia="Times New Roman" w:hAnsi="Times New Roman" w:cs="Times New Roman"/>
                <w:lang w:eastAsia="ru-RU"/>
              </w:rPr>
              <w:footnoteReference w:id="2"/>
            </w:r>
          </w:p>
          <w:p w:rsidR="00711D93" w:rsidRPr="005F3C01" w:rsidRDefault="00711D93" w:rsidP="00711D93">
            <w:pPr>
              <w:autoSpaceDE w:val="0"/>
              <w:snapToGrid w:val="0"/>
              <w:cnfStyle w:val="000000100000"/>
              <w:rPr>
                <w:rFonts w:ascii="Times New Roman" w:eastAsia="Times New Roman" w:hAnsi="Times New Roman" w:cs="Times New Roman"/>
                <w:lang w:eastAsia="ru-RU"/>
              </w:rPr>
            </w:pPr>
          </w:p>
          <w:p w:rsidR="00711D93" w:rsidRPr="005F3C01" w:rsidRDefault="00711D93" w:rsidP="00711D93">
            <w:pPr>
              <w:autoSpaceDE w:val="0"/>
              <w:snapToGrid w:val="0"/>
              <w:cnfStyle w:val="000000100000"/>
              <w:rPr>
                <w:rFonts w:ascii="Times New Roman" w:eastAsia="Times New Roman" w:hAnsi="Times New Roman" w:cs="Times New Roman"/>
                <w:lang w:eastAsia="ru-RU"/>
              </w:rPr>
            </w:pPr>
          </w:p>
          <w:p w:rsidR="00711D93" w:rsidRPr="005F3C01" w:rsidRDefault="00711D93" w:rsidP="00711D93">
            <w:pPr>
              <w:autoSpaceDE w:val="0"/>
              <w:snapToGrid w:val="0"/>
              <w:cnfStyle w:val="000000100000"/>
              <w:rPr>
                <w:rFonts w:ascii="Times New Roman" w:eastAsia="Times New Roman" w:hAnsi="Times New Roman" w:cs="Times New Roman"/>
                <w:lang w:eastAsia="ru-RU"/>
              </w:rPr>
            </w:pPr>
          </w:p>
          <w:p w:rsidR="00711D93" w:rsidRPr="005F3C01" w:rsidRDefault="00711D93" w:rsidP="00711D93">
            <w:pPr>
              <w:autoSpaceDE w:val="0"/>
              <w:snapToGrid w:val="0"/>
              <w:cnfStyle w:val="000000100000"/>
              <w:rPr>
                <w:rFonts w:ascii="Times New Roman" w:eastAsia="Times New Roman" w:hAnsi="Times New Roman" w:cs="Times New Roman"/>
                <w:lang w:eastAsia="ru-RU"/>
              </w:rPr>
            </w:pPr>
          </w:p>
          <w:p w:rsidR="00272907" w:rsidRPr="005F3C01" w:rsidRDefault="00272907" w:rsidP="00AA2827">
            <w:pPr>
              <w:autoSpaceDE w:val="0"/>
              <w:snapToGrid w:val="0"/>
              <w:cnfStyle w:val="000000100000"/>
              <w:rPr>
                <w:rFonts w:ascii="Times New Roman" w:eastAsia="Times New Roman" w:hAnsi="Times New Roman" w:cs="Times New Roman"/>
                <w:lang w:eastAsia="ru-RU"/>
              </w:rPr>
            </w:pPr>
          </w:p>
        </w:tc>
      </w:tr>
      <w:tr w:rsidR="005F3C01" w:rsidRPr="005F3C01" w:rsidTr="005F3C01">
        <w:trPr>
          <w:trHeight w:val="400"/>
        </w:trPr>
        <w:tc>
          <w:tcPr>
            <w:cnfStyle w:val="001000000000"/>
            <w:tcW w:w="199" w:type="pct"/>
          </w:tcPr>
          <w:p w:rsidR="00944EE8" w:rsidRPr="00D438C7" w:rsidRDefault="00711D93" w:rsidP="00E36F56">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t>2</w:t>
            </w:r>
          </w:p>
        </w:tc>
        <w:tc>
          <w:tcPr>
            <w:cnfStyle w:val="000010000000"/>
            <w:tcW w:w="642" w:type="pct"/>
          </w:tcPr>
          <w:p w:rsidR="00944EE8" w:rsidRPr="005F3C01" w:rsidRDefault="00944EE8" w:rsidP="004C0037">
            <w:pPr>
              <w:jc w:val="both"/>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 xml:space="preserve">Прием показаний </w:t>
            </w:r>
            <w:r w:rsidRPr="005F3C01">
              <w:rPr>
                <w:rFonts w:ascii="Times New Roman" w:eastAsia="Times New Roman" w:hAnsi="Times New Roman" w:cs="Times New Roman"/>
                <w:lang w:eastAsia="ru-RU"/>
              </w:rPr>
              <w:lastRenderedPageBreak/>
              <w:t>расчетных приборов учета от потребителя, в том числе используемых в качестве расчетных контрольных приборов учета</w:t>
            </w:r>
          </w:p>
        </w:tc>
        <w:tc>
          <w:tcPr>
            <w:tcW w:w="911" w:type="pct"/>
          </w:tcPr>
          <w:p w:rsidR="00944EE8" w:rsidRPr="005F3C01" w:rsidRDefault="00944EE8" w:rsidP="00405006">
            <w:pPr>
              <w:jc w:val="both"/>
              <w:cnfStyle w:val="00000000000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lastRenderedPageBreak/>
              <w:t xml:space="preserve">Наличие заключенного с </w:t>
            </w:r>
            <w:r w:rsidR="00405006">
              <w:rPr>
                <w:rFonts w:ascii="Times New Roman" w:hAnsi="Times New Roman" w:cs="Times New Roman"/>
                <w:sz w:val="24"/>
                <w:szCs w:val="24"/>
              </w:rPr>
              <w:t>сетевой организацией</w:t>
            </w:r>
            <w:r w:rsidR="004E4587" w:rsidRPr="005152BE">
              <w:rPr>
                <w:rFonts w:ascii="Times New Roman" w:hAnsi="Times New Roman" w:cs="Times New Roman"/>
                <w:sz w:val="24"/>
                <w:szCs w:val="24"/>
              </w:rPr>
              <w:t xml:space="preserve"> </w:t>
            </w:r>
            <w:r w:rsidRPr="005F3C01">
              <w:rPr>
                <w:rFonts w:ascii="Times New Roman" w:eastAsia="Times New Roman" w:hAnsi="Times New Roman" w:cs="Times New Roman"/>
                <w:lang w:eastAsia="ru-RU"/>
              </w:rPr>
              <w:lastRenderedPageBreak/>
              <w:t>договора оказания услуг по передаче электрической энергии</w:t>
            </w:r>
          </w:p>
        </w:tc>
        <w:tc>
          <w:tcPr>
            <w:cnfStyle w:val="000010000000"/>
            <w:tcW w:w="928" w:type="pct"/>
          </w:tcPr>
          <w:p w:rsidR="00944EE8" w:rsidRPr="005F3C01" w:rsidRDefault="00944EE8" w:rsidP="004C0037">
            <w:pPr>
              <w:jc w:val="both"/>
              <w:rPr>
                <w:rFonts w:ascii="Times New Roman" w:eastAsia="Times New Roman" w:hAnsi="Times New Roman" w:cs="Times New Roman"/>
                <w:lang w:eastAsia="ru-RU"/>
              </w:rPr>
            </w:pPr>
            <w:r w:rsidRPr="005F3C01">
              <w:rPr>
                <w:rFonts w:ascii="Times New Roman" w:eastAsia="Times New Roman" w:hAnsi="Times New Roman" w:cs="Times New Roman"/>
                <w:lang w:eastAsia="ru-RU"/>
              </w:rPr>
              <w:lastRenderedPageBreak/>
              <w:t xml:space="preserve">Прием показаний расчетных приборов </w:t>
            </w:r>
            <w:r w:rsidRPr="005F3C01">
              <w:rPr>
                <w:rFonts w:ascii="Times New Roman" w:eastAsia="Times New Roman" w:hAnsi="Times New Roman" w:cs="Times New Roman"/>
                <w:lang w:eastAsia="ru-RU"/>
              </w:rPr>
              <w:lastRenderedPageBreak/>
              <w:t>учета от потребителя, в том числе используемых в качестве расчетных контрольных приборов учета</w:t>
            </w:r>
          </w:p>
        </w:tc>
        <w:tc>
          <w:tcPr>
            <w:tcW w:w="672" w:type="pct"/>
          </w:tcPr>
          <w:p w:rsidR="00944EE8" w:rsidRPr="005F3C01" w:rsidRDefault="00944EE8" w:rsidP="004C003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lastRenderedPageBreak/>
              <w:t xml:space="preserve">Письменное уведомление, с </w:t>
            </w:r>
            <w:r w:rsidRPr="005F3C01">
              <w:rPr>
                <w:rFonts w:ascii="Times New Roman" w:hAnsi="Times New Roman" w:cs="Times New Roman"/>
              </w:rPr>
              <w:lastRenderedPageBreak/>
              <w:t>использованием телефонной связи, электронной почты или иным способом, позволяющим подтвердить факт получения</w:t>
            </w:r>
          </w:p>
          <w:p w:rsidR="00944EE8" w:rsidRPr="005F3C01" w:rsidRDefault="00944EE8" w:rsidP="004C0037">
            <w:pPr>
              <w:autoSpaceDE w:val="0"/>
              <w:autoSpaceDN w:val="0"/>
              <w:adjustRightInd w:val="0"/>
              <w:jc w:val="both"/>
              <w:cnfStyle w:val="000000000000"/>
              <w:rPr>
                <w:rFonts w:ascii="Times New Roman" w:eastAsia="Times New Roman" w:hAnsi="Times New Roman" w:cs="Times New Roman"/>
                <w:lang w:eastAsia="ru-RU"/>
              </w:rPr>
            </w:pPr>
          </w:p>
        </w:tc>
        <w:tc>
          <w:tcPr>
            <w:cnfStyle w:val="000010000000"/>
            <w:tcW w:w="854" w:type="pct"/>
          </w:tcPr>
          <w:p w:rsidR="00326673" w:rsidRDefault="00944EE8" w:rsidP="004C0037">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 xml:space="preserve">В соответствии с договором оказания </w:t>
            </w:r>
            <w:r w:rsidRPr="005F3C01">
              <w:rPr>
                <w:rFonts w:ascii="Times New Roman" w:hAnsi="Times New Roman" w:cs="Times New Roman"/>
              </w:rPr>
              <w:lastRenderedPageBreak/>
              <w:t>услуг по передаче электрической энергии.</w:t>
            </w:r>
            <w:r w:rsidR="00326673" w:rsidRPr="005F3C01">
              <w:rPr>
                <w:rFonts w:ascii="Times New Roman" w:hAnsi="Times New Roman" w:cs="Times New Roman"/>
              </w:rPr>
              <w:t xml:space="preserve"> </w:t>
            </w:r>
          </w:p>
          <w:p w:rsidR="00944EE8" w:rsidRPr="005F3C01" w:rsidRDefault="00326673" w:rsidP="00326673">
            <w:pPr>
              <w:autoSpaceDE w:val="0"/>
              <w:autoSpaceDN w:val="0"/>
              <w:adjustRightInd w:val="0"/>
              <w:jc w:val="both"/>
              <w:rPr>
                <w:rFonts w:ascii="Times New Roman" w:hAnsi="Times New Roman" w:cs="Times New Roman"/>
              </w:rPr>
            </w:pPr>
            <w:r w:rsidRPr="005F3C01">
              <w:rPr>
                <w:rFonts w:ascii="Times New Roman" w:hAnsi="Times New Roman" w:cs="Times New Roman"/>
              </w:rPr>
              <w:t>Если время и дата снятия показаний расчетных приборов учета не установлены договором оказания услуг по передаче электрической энергии, то ежемесячно, до окончания 1-го дня месяца, следующего за расчетным периодом</w:t>
            </w:r>
          </w:p>
          <w:p w:rsidR="00944EE8" w:rsidRPr="005F3C01" w:rsidRDefault="00944EE8" w:rsidP="004C0037">
            <w:pPr>
              <w:jc w:val="both"/>
              <w:rPr>
                <w:rFonts w:ascii="Times New Roman" w:hAnsi="Times New Roman" w:cs="Times New Roman"/>
              </w:rPr>
            </w:pPr>
          </w:p>
        </w:tc>
        <w:tc>
          <w:tcPr>
            <w:tcW w:w="794" w:type="pct"/>
          </w:tcPr>
          <w:p w:rsidR="00944EE8" w:rsidRPr="005F3C01" w:rsidRDefault="00711D93" w:rsidP="00B70A51">
            <w:pPr>
              <w:jc w:val="both"/>
              <w:cnfStyle w:val="00000000000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lastRenderedPageBreak/>
              <w:t xml:space="preserve">Пункты 161, 163 Основ </w:t>
            </w:r>
            <w:r w:rsidRPr="005F3C01">
              <w:rPr>
                <w:rFonts w:ascii="Times New Roman" w:eastAsia="Times New Roman" w:hAnsi="Times New Roman" w:cs="Times New Roman"/>
                <w:lang w:eastAsia="ru-RU"/>
              </w:rPr>
              <w:lastRenderedPageBreak/>
              <w:t>функционирования розничных рынков электрической энергии</w:t>
            </w:r>
          </w:p>
        </w:tc>
      </w:tr>
      <w:tr w:rsidR="005F3C01" w:rsidRPr="005F3C01" w:rsidTr="005F3C01">
        <w:trPr>
          <w:cnfStyle w:val="000000100000"/>
          <w:trHeight w:val="400"/>
        </w:trPr>
        <w:tc>
          <w:tcPr>
            <w:cnfStyle w:val="001000000000"/>
            <w:tcW w:w="199" w:type="pct"/>
          </w:tcPr>
          <w:p w:rsidR="00944EE8" w:rsidRPr="00D438C7" w:rsidRDefault="00711D93" w:rsidP="00D438C7">
            <w:pPr>
              <w:ind w:left="708"/>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lastRenderedPageBreak/>
              <w:t>3</w:t>
            </w:r>
          </w:p>
        </w:tc>
        <w:tc>
          <w:tcPr>
            <w:cnfStyle w:val="000010000000"/>
            <w:tcW w:w="642" w:type="pct"/>
          </w:tcPr>
          <w:p w:rsidR="00944EE8" w:rsidRPr="005F3C01" w:rsidRDefault="00944EE8" w:rsidP="00575D41">
            <w:pPr>
              <w:autoSpaceDE w:val="0"/>
              <w:autoSpaceDN w:val="0"/>
              <w:adjustRightInd w:val="0"/>
              <w:jc w:val="both"/>
              <w:rPr>
                <w:rFonts w:ascii="Times New Roman" w:eastAsia="Times New Roman" w:hAnsi="Times New Roman" w:cs="Times New Roman"/>
                <w:lang w:eastAsia="ru-RU"/>
              </w:rPr>
            </w:pPr>
            <w:r w:rsidRPr="005F3C01">
              <w:rPr>
                <w:rFonts w:ascii="Times New Roman" w:hAnsi="Times New Roman" w:cs="Times New Roman"/>
              </w:rPr>
              <w:t>Передача показаний расчетных приборов учета гарантирующ</w:t>
            </w:r>
            <w:r w:rsidR="00575D41">
              <w:rPr>
                <w:rFonts w:ascii="Times New Roman" w:hAnsi="Times New Roman" w:cs="Times New Roman"/>
              </w:rPr>
              <w:t>ему поставщику (энергосбытовойэ</w:t>
            </w:r>
            <w:r w:rsidRPr="005F3C01">
              <w:rPr>
                <w:rFonts w:ascii="Times New Roman" w:hAnsi="Times New Roman" w:cs="Times New Roman"/>
              </w:rPr>
              <w:t>нергоснабжающей организации)</w:t>
            </w:r>
          </w:p>
        </w:tc>
        <w:tc>
          <w:tcPr>
            <w:tcW w:w="911" w:type="pct"/>
          </w:tcPr>
          <w:p w:rsidR="00944EE8" w:rsidRPr="005F3C01" w:rsidRDefault="00944EE8" w:rsidP="006C1746">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944EE8" w:rsidRPr="005F3C01" w:rsidRDefault="00944EE8" w:rsidP="006C1746">
            <w:pPr>
              <w:jc w:val="both"/>
              <w:cnfStyle w:val="000000100000"/>
              <w:rPr>
                <w:rFonts w:ascii="Times New Roman" w:eastAsia="Times New Roman" w:hAnsi="Times New Roman" w:cs="Times New Roman"/>
                <w:lang w:eastAsia="ru-RU"/>
              </w:rPr>
            </w:pPr>
          </w:p>
        </w:tc>
        <w:tc>
          <w:tcPr>
            <w:cnfStyle w:val="000010000000"/>
            <w:tcW w:w="928" w:type="pct"/>
          </w:tcPr>
          <w:p w:rsidR="00944EE8" w:rsidRPr="005F3C01" w:rsidRDefault="00944EE8" w:rsidP="006C1746">
            <w:pPr>
              <w:autoSpaceDE w:val="0"/>
              <w:autoSpaceDN w:val="0"/>
              <w:adjustRightInd w:val="0"/>
              <w:jc w:val="both"/>
              <w:rPr>
                <w:rFonts w:ascii="Times New Roman" w:eastAsia="Times New Roman" w:hAnsi="Times New Roman" w:cs="Times New Roman"/>
                <w:lang w:eastAsia="ru-RU"/>
              </w:rPr>
            </w:pPr>
            <w:r w:rsidRPr="005F3C01">
              <w:rPr>
                <w:rFonts w:ascii="Times New Roman"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672" w:type="pct"/>
          </w:tcPr>
          <w:p w:rsidR="00944EE8" w:rsidRPr="005F3C01" w:rsidRDefault="00944EE8" w:rsidP="006C1746">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tcW w:w="854" w:type="pct"/>
          </w:tcPr>
          <w:p w:rsidR="00D438C7" w:rsidRPr="005F3C01" w:rsidRDefault="00D438C7" w:rsidP="00D438C7">
            <w:pPr>
              <w:autoSpaceDE w:val="0"/>
              <w:autoSpaceDN w:val="0"/>
              <w:adjustRightInd w:val="0"/>
              <w:jc w:val="both"/>
              <w:rPr>
                <w:rFonts w:ascii="Times New Roman" w:hAnsi="Times New Roman" w:cs="Times New Roman"/>
              </w:rPr>
            </w:pPr>
            <w:r w:rsidRPr="005F3C01">
              <w:rPr>
                <w:rFonts w:ascii="Times New Roman" w:hAnsi="Times New Roman" w:cs="Times New Roman"/>
              </w:rPr>
              <w:t>В соответствии с договором оказания услуг по передаче электрической энергии.</w:t>
            </w:r>
          </w:p>
          <w:p w:rsidR="00944EE8" w:rsidRPr="005F3C01" w:rsidRDefault="00944EE8" w:rsidP="006C1746">
            <w:pPr>
              <w:autoSpaceDE w:val="0"/>
              <w:autoSpaceDN w:val="0"/>
              <w:adjustRightInd w:val="0"/>
              <w:jc w:val="both"/>
              <w:rPr>
                <w:rFonts w:ascii="Times New Roman" w:eastAsia="Times New Roman" w:hAnsi="Times New Roman" w:cs="Times New Roman"/>
                <w:lang w:eastAsia="ru-RU"/>
              </w:rPr>
            </w:pPr>
          </w:p>
        </w:tc>
        <w:tc>
          <w:tcPr>
            <w:tcW w:w="794" w:type="pct"/>
          </w:tcPr>
          <w:p w:rsidR="00944EE8" w:rsidRPr="005F3C01" w:rsidRDefault="00944EE8" w:rsidP="006C1746">
            <w:pPr>
              <w:jc w:val="both"/>
              <w:cnfStyle w:val="000000100000"/>
              <w:rPr>
                <w:rFonts w:ascii="Times New Roman" w:eastAsia="Times New Roman" w:hAnsi="Times New Roman" w:cs="Times New Roman"/>
                <w:lang w:eastAsia="ru-RU"/>
              </w:rPr>
            </w:pPr>
            <w:r w:rsidRPr="005F3C01">
              <w:rPr>
                <w:rFonts w:ascii="Times New Roman" w:eastAsia="Times New Roman" w:hAnsi="Times New Roman" w:cs="Times New Roman"/>
                <w:lang w:eastAsia="ru-RU"/>
              </w:rPr>
              <w:t>Пункт 163 Основ функционирования розничных рынков электрической энергии</w:t>
            </w:r>
          </w:p>
        </w:tc>
      </w:tr>
      <w:tr w:rsidR="005F3C01" w:rsidRPr="005F3C01" w:rsidTr="005F3C01">
        <w:trPr>
          <w:trHeight w:val="400"/>
        </w:trPr>
        <w:tc>
          <w:tcPr>
            <w:cnfStyle w:val="001000000000"/>
            <w:tcW w:w="199" w:type="pct"/>
          </w:tcPr>
          <w:p w:rsidR="00711D93" w:rsidRPr="00D438C7" w:rsidRDefault="008742FE" w:rsidP="00E36F56">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t>4</w:t>
            </w:r>
          </w:p>
        </w:tc>
        <w:tc>
          <w:tcPr>
            <w:cnfStyle w:val="000010000000"/>
            <w:tcW w:w="642" w:type="pct"/>
          </w:tcPr>
          <w:p w:rsidR="00711D93" w:rsidRPr="005F3C01" w:rsidRDefault="008742FE" w:rsidP="00B70A51">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переданной электрической энергии потребителю:</w:t>
            </w:r>
          </w:p>
        </w:tc>
        <w:tc>
          <w:tcPr>
            <w:tcW w:w="911" w:type="pct"/>
          </w:tcPr>
          <w:p w:rsidR="00711D93" w:rsidRPr="005F3C01" w:rsidRDefault="00711D93" w:rsidP="0057110C">
            <w:pPr>
              <w:autoSpaceDE w:val="0"/>
              <w:autoSpaceDN w:val="0"/>
              <w:adjustRightInd w:val="0"/>
              <w:jc w:val="both"/>
              <w:cnfStyle w:val="000000000000"/>
              <w:rPr>
                <w:rFonts w:ascii="Times New Roman" w:hAnsi="Times New Roman" w:cs="Times New Roman"/>
              </w:rPr>
            </w:pPr>
          </w:p>
        </w:tc>
        <w:tc>
          <w:tcPr>
            <w:cnfStyle w:val="000010000000"/>
            <w:tcW w:w="928" w:type="pct"/>
          </w:tcPr>
          <w:p w:rsidR="00711D93" w:rsidRPr="005F3C01" w:rsidRDefault="00711D93" w:rsidP="007017EC">
            <w:pPr>
              <w:autoSpaceDE w:val="0"/>
              <w:autoSpaceDN w:val="0"/>
              <w:adjustRightInd w:val="0"/>
              <w:jc w:val="both"/>
              <w:rPr>
                <w:rFonts w:ascii="Times New Roman" w:hAnsi="Times New Roman" w:cs="Times New Roman"/>
              </w:rPr>
            </w:pPr>
          </w:p>
        </w:tc>
        <w:tc>
          <w:tcPr>
            <w:tcW w:w="672" w:type="pct"/>
          </w:tcPr>
          <w:p w:rsidR="00711D93" w:rsidRPr="005F3C01" w:rsidRDefault="00711D93" w:rsidP="00566514">
            <w:pPr>
              <w:jc w:val="both"/>
              <w:cnfStyle w:val="000000000000"/>
              <w:rPr>
                <w:rFonts w:ascii="Times New Roman" w:eastAsia="Times New Roman" w:hAnsi="Times New Roman" w:cs="Times New Roman"/>
                <w:lang w:eastAsia="ru-RU"/>
              </w:rPr>
            </w:pPr>
          </w:p>
        </w:tc>
        <w:tc>
          <w:tcPr>
            <w:cnfStyle w:val="000010000000"/>
            <w:tcW w:w="854" w:type="pct"/>
          </w:tcPr>
          <w:p w:rsidR="00711D93" w:rsidRPr="005F3C01" w:rsidRDefault="00711D93" w:rsidP="007017EC">
            <w:pPr>
              <w:autoSpaceDE w:val="0"/>
              <w:autoSpaceDN w:val="0"/>
              <w:adjustRightInd w:val="0"/>
              <w:jc w:val="both"/>
              <w:rPr>
                <w:rFonts w:ascii="Times New Roman" w:hAnsi="Times New Roman" w:cs="Times New Roman"/>
              </w:rPr>
            </w:pPr>
          </w:p>
        </w:tc>
        <w:tc>
          <w:tcPr>
            <w:tcW w:w="794" w:type="pct"/>
          </w:tcPr>
          <w:p w:rsidR="00711D93" w:rsidRPr="005F3C01" w:rsidRDefault="00711D93" w:rsidP="00944EE8">
            <w:pPr>
              <w:jc w:val="both"/>
              <w:cnfStyle w:val="000000000000"/>
              <w:rPr>
                <w:rFonts w:ascii="Times New Roman" w:hAnsi="Times New Roman" w:cs="Times New Roman"/>
              </w:rPr>
            </w:pPr>
          </w:p>
        </w:tc>
      </w:tr>
      <w:tr w:rsidR="005F3C01" w:rsidRPr="005F3C01" w:rsidTr="005F3C01">
        <w:trPr>
          <w:cnfStyle w:val="000000100000"/>
          <w:trHeight w:val="400"/>
        </w:trPr>
        <w:tc>
          <w:tcPr>
            <w:cnfStyle w:val="001000000000"/>
            <w:tcW w:w="199" w:type="pct"/>
          </w:tcPr>
          <w:p w:rsidR="008742FE" w:rsidRPr="00D438C7" w:rsidRDefault="008742FE" w:rsidP="008742FE">
            <w:pPr>
              <w:jc w:val="both"/>
              <w:rPr>
                <w:rFonts w:ascii="Times New Roman" w:hAnsi="Times New Roman" w:cs="Times New Roman"/>
              </w:rPr>
            </w:pPr>
            <w:r w:rsidRPr="00D438C7">
              <w:rPr>
                <w:rFonts w:ascii="Times New Roman" w:eastAsia="Times New Roman" w:hAnsi="Times New Roman" w:cs="Times New Roman"/>
                <w:lang w:eastAsia="ru-RU"/>
              </w:rPr>
              <w:t>4.1</w:t>
            </w:r>
          </w:p>
        </w:tc>
        <w:tc>
          <w:tcPr>
            <w:cnfStyle w:val="000010000000"/>
            <w:tcW w:w="642"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w:t>
            </w:r>
            <w:r w:rsidRPr="005F3C01">
              <w:rPr>
                <w:rFonts w:ascii="Times New Roman" w:hAnsi="Times New Roman" w:cs="Times New Roman"/>
              </w:rPr>
              <w:lastRenderedPageBreak/>
              <w:t>электрической энергии по показаниям расчетных приборов учета электрической энергии</w:t>
            </w:r>
          </w:p>
        </w:tc>
        <w:tc>
          <w:tcPr>
            <w:tcW w:w="911" w:type="pct"/>
          </w:tcPr>
          <w:p w:rsidR="008742FE" w:rsidRPr="005F3C01" w:rsidRDefault="008742FE" w:rsidP="00D301DE">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lastRenderedPageBreak/>
              <w:t xml:space="preserve">Потребителем своевременно представлены показания </w:t>
            </w:r>
            <w:r w:rsidRPr="005F3C01">
              <w:rPr>
                <w:rFonts w:ascii="Times New Roman" w:hAnsi="Times New Roman" w:cs="Times New Roman"/>
              </w:rPr>
              <w:lastRenderedPageBreak/>
              <w:t>приборов учета, или  получены данные с АИИС КУЭ</w:t>
            </w:r>
          </w:p>
        </w:tc>
        <w:tc>
          <w:tcPr>
            <w:cnfStyle w:val="000010000000"/>
            <w:tcW w:w="928" w:type="pct"/>
          </w:tcPr>
          <w:p w:rsidR="008742FE" w:rsidRPr="005F3C01" w:rsidRDefault="008742FE" w:rsidP="00D301DE">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 xml:space="preserve">Расчет объемов переданной  электроэнергии на </w:t>
            </w:r>
            <w:r w:rsidRPr="005F3C01">
              <w:rPr>
                <w:rFonts w:ascii="Times New Roman" w:hAnsi="Times New Roman" w:cs="Times New Roman"/>
              </w:rPr>
              <w:lastRenderedPageBreak/>
              <w:t>основании переданных потребителем показаний или данных, полученных с АИИС КУЭ</w:t>
            </w:r>
          </w:p>
        </w:tc>
        <w:tc>
          <w:tcPr>
            <w:tcW w:w="672" w:type="pct"/>
          </w:tcPr>
          <w:p w:rsidR="008742FE" w:rsidRPr="005F3C01" w:rsidRDefault="008742FE" w:rsidP="00D301DE">
            <w:pPr>
              <w:jc w:val="both"/>
              <w:cnfStyle w:val="000000100000"/>
              <w:rPr>
                <w:rFonts w:ascii="Times New Roman" w:eastAsia="Times New Roman" w:hAnsi="Times New Roman" w:cs="Times New Roman"/>
                <w:lang w:eastAsia="ru-RU"/>
              </w:rPr>
            </w:pPr>
            <w:r w:rsidRPr="005F3C01">
              <w:rPr>
                <w:rFonts w:ascii="Times New Roman" w:hAnsi="Times New Roman" w:cs="Times New Roman"/>
              </w:rPr>
              <w:lastRenderedPageBreak/>
              <w:t xml:space="preserve">Письменно, с использованием программного </w:t>
            </w:r>
            <w:r w:rsidRPr="005F3C01">
              <w:rPr>
                <w:rFonts w:ascii="Times New Roman" w:hAnsi="Times New Roman" w:cs="Times New Roman"/>
              </w:rPr>
              <w:lastRenderedPageBreak/>
              <w:t>обеспечения</w:t>
            </w:r>
          </w:p>
        </w:tc>
        <w:tc>
          <w:tcPr>
            <w:cnfStyle w:val="000010000000"/>
            <w:tcW w:w="854" w:type="pct"/>
          </w:tcPr>
          <w:p w:rsidR="008742FE" w:rsidRPr="005F3C01" w:rsidRDefault="008742FE" w:rsidP="00D301DE">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до 10-го числа месяца, следующего за расчётным периодом</w:t>
            </w:r>
            <w:r w:rsidR="00326673">
              <w:rPr>
                <w:rFonts w:ascii="Times New Roman" w:hAnsi="Times New Roman" w:cs="Times New Roman"/>
              </w:rPr>
              <w:t xml:space="preserve">, </w:t>
            </w:r>
            <w:r w:rsidR="00326673">
              <w:rPr>
                <w:rFonts w:ascii="Times New Roman" w:hAnsi="Times New Roman" w:cs="Times New Roman"/>
              </w:rPr>
              <w:lastRenderedPageBreak/>
              <w:t>если иное не установлено договором оказания услуг по передаче электрической энергии</w:t>
            </w:r>
          </w:p>
        </w:tc>
        <w:tc>
          <w:tcPr>
            <w:tcW w:w="794" w:type="pct"/>
          </w:tcPr>
          <w:p w:rsidR="008742FE" w:rsidRPr="005F3C01" w:rsidRDefault="008742FE" w:rsidP="008742FE">
            <w:pPr>
              <w:jc w:val="both"/>
              <w:cnfStyle w:val="000000100000"/>
              <w:rPr>
                <w:rFonts w:ascii="Times New Roman" w:hAnsi="Times New Roman" w:cs="Times New Roman"/>
              </w:rPr>
            </w:pPr>
            <w:r w:rsidRPr="005F3C01">
              <w:rPr>
                <w:rFonts w:ascii="Times New Roman" w:hAnsi="Times New Roman" w:cs="Times New Roman"/>
              </w:rPr>
              <w:lastRenderedPageBreak/>
              <w:t xml:space="preserve">Пункт 189 Основ функционирования розничных рынков </w:t>
            </w:r>
            <w:r w:rsidRPr="005F3C01">
              <w:rPr>
                <w:rFonts w:ascii="Times New Roman" w:hAnsi="Times New Roman" w:cs="Times New Roman"/>
              </w:rPr>
              <w:lastRenderedPageBreak/>
              <w:t>электрической энергии</w:t>
            </w:r>
          </w:p>
        </w:tc>
      </w:tr>
      <w:tr w:rsidR="005F3C01" w:rsidRPr="005F3C01" w:rsidTr="005F3C01">
        <w:trPr>
          <w:trHeight w:val="400"/>
        </w:trPr>
        <w:tc>
          <w:tcPr>
            <w:cnfStyle w:val="001000000000"/>
            <w:tcW w:w="199" w:type="pct"/>
          </w:tcPr>
          <w:p w:rsidR="008742FE" w:rsidRPr="00D438C7" w:rsidRDefault="008742FE" w:rsidP="008742FE">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lastRenderedPageBreak/>
              <w:t>4.2</w:t>
            </w:r>
          </w:p>
        </w:tc>
        <w:tc>
          <w:tcPr>
            <w:cnfStyle w:val="000010000000"/>
            <w:tcW w:w="642"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911" w:type="pct"/>
          </w:tcPr>
          <w:p w:rsidR="008742FE" w:rsidRPr="005F3C01" w:rsidRDefault="008742FE" w:rsidP="008742FE">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Отсутствие показаний расчетных  приборов учета электрической энергии у сетевой организации после 2 числа месяца,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tcW w:w="928"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72" w:type="pct"/>
          </w:tcPr>
          <w:p w:rsidR="008742FE" w:rsidRPr="005F3C01" w:rsidRDefault="008742FE" w:rsidP="008742FE">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Письменно, с использованием программного обеспечения</w:t>
            </w:r>
          </w:p>
        </w:tc>
        <w:tc>
          <w:tcPr>
            <w:cnfStyle w:val="000010000000"/>
            <w:tcW w:w="854" w:type="pct"/>
          </w:tcPr>
          <w:p w:rsidR="008742FE" w:rsidRPr="005F3C01" w:rsidRDefault="008742FE" w:rsidP="008742FE">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r w:rsidR="008F5D8C">
              <w:rPr>
                <w:rFonts w:ascii="Times New Roman" w:hAnsi="Times New Roman" w:cs="Times New Roman"/>
              </w:rPr>
              <w:t>, если иное не установлено договором оказания услуг по передаче электрической энергии.</w:t>
            </w:r>
          </w:p>
        </w:tc>
        <w:tc>
          <w:tcPr>
            <w:tcW w:w="794" w:type="pct"/>
          </w:tcPr>
          <w:p w:rsidR="008742FE" w:rsidRPr="005F3C01" w:rsidRDefault="008742FE" w:rsidP="002F67C7">
            <w:pPr>
              <w:jc w:val="both"/>
              <w:cnfStyle w:val="000000000000"/>
              <w:rPr>
                <w:rFonts w:ascii="Times New Roman" w:hAnsi="Times New Roman" w:cs="Times New Roman"/>
              </w:rPr>
            </w:pPr>
            <w:r w:rsidRPr="005F3C01">
              <w:rPr>
                <w:rFonts w:ascii="Times New Roman" w:hAnsi="Times New Roman" w:cs="Times New Roman"/>
              </w:rPr>
              <w:t>Пункты 189, 166 Основ функционирования розничных рынков электрической энергии</w:t>
            </w:r>
          </w:p>
        </w:tc>
      </w:tr>
      <w:tr w:rsidR="005F3C01" w:rsidRPr="005F3C01" w:rsidTr="005F3C01">
        <w:trPr>
          <w:cnfStyle w:val="000000100000"/>
          <w:trHeight w:val="400"/>
        </w:trPr>
        <w:tc>
          <w:tcPr>
            <w:cnfStyle w:val="001000000000"/>
            <w:tcW w:w="199" w:type="pct"/>
          </w:tcPr>
          <w:p w:rsidR="00944EE8" w:rsidRPr="00D438C7" w:rsidRDefault="005E50F0" w:rsidP="00E36F56">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t>4.</w:t>
            </w:r>
            <w:r w:rsidR="00944EE8" w:rsidRPr="00D438C7">
              <w:rPr>
                <w:rFonts w:ascii="Times New Roman" w:eastAsia="Times New Roman" w:hAnsi="Times New Roman" w:cs="Times New Roman"/>
                <w:lang w:eastAsia="ru-RU"/>
              </w:rPr>
              <w:t>3</w:t>
            </w:r>
          </w:p>
        </w:tc>
        <w:tc>
          <w:tcPr>
            <w:cnfStyle w:val="000010000000"/>
            <w:tcW w:w="642" w:type="pct"/>
          </w:tcPr>
          <w:p w:rsidR="00944EE8" w:rsidRPr="005F3C01" w:rsidRDefault="005E50F0" w:rsidP="00B70A51">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w:t>
            </w:r>
            <w:r w:rsidR="00944EE8" w:rsidRPr="005F3C01">
              <w:rPr>
                <w:rFonts w:ascii="Times New Roman" w:hAnsi="Times New Roman" w:cs="Times New Roman"/>
              </w:rPr>
              <w:t xml:space="preserve"> объемов переданной </w:t>
            </w:r>
            <w:r w:rsidRPr="005F3C01">
              <w:rPr>
                <w:rFonts w:ascii="Times New Roman" w:hAnsi="Times New Roman" w:cs="Times New Roman"/>
              </w:rPr>
              <w:t>электрической энергии потребителю расчетным способом</w:t>
            </w:r>
          </w:p>
        </w:tc>
        <w:tc>
          <w:tcPr>
            <w:tcW w:w="911" w:type="pct"/>
          </w:tcPr>
          <w:p w:rsidR="005E50F0" w:rsidRPr="005F3C01" w:rsidRDefault="005E50F0" w:rsidP="005E50F0">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lastRenderedPageBreak/>
              <w:t>-юридическими лицами  в течение 1-го и 2-го расчетных периодов подряд;</w:t>
            </w: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944EE8" w:rsidRPr="005F3C01" w:rsidRDefault="00944EE8" w:rsidP="0057110C">
            <w:pPr>
              <w:autoSpaceDE w:val="0"/>
              <w:autoSpaceDN w:val="0"/>
              <w:adjustRightInd w:val="0"/>
              <w:jc w:val="both"/>
              <w:cnfStyle w:val="000000100000"/>
              <w:rPr>
                <w:rFonts w:ascii="Times New Roman" w:hAnsi="Times New Roman" w:cs="Times New Roman"/>
              </w:rPr>
            </w:pPr>
          </w:p>
        </w:tc>
        <w:tc>
          <w:tcPr>
            <w:cnfStyle w:val="000010000000"/>
            <w:tcW w:w="928" w:type="pct"/>
          </w:tcPr>
          <w:p w:rsidR="005E50F0" w:rsidRPr="005F3C01" w:rsidRDefault="005E50F0" w:rsidP="005E50F0">
            <w:pPr>
              <w:autoSpaceDE w:val="0"/>
              <w:autoSpaceDN w:val="0"/>
              <w:adjustRightInd w:val="0"/>
              <w:jc w:val="both"/>
              <w:rPr>
                <w:rFonts w:ascii="Times New Roman" w:hAnsi="Times New Roman" w:cs="Times New Roman"/>
              </w:rPr>
            </w:pPr>
            <w:r w:rsidRPr="005F3C01">
              <w:rPr>
                <w:rFonts w:ascii="Times New Roman" w:hAnsi="Times New Roman" w:cs="Times New Roman"/>
              </w:rPr>
              <w:lastRenderedPageBreak/>
              <w:t>Определение</w:t>
            </w:r>
            <w:r w:rsidR="00944EE8" w:rsidRPr="005F3C01">
              <w:rPr>
                <w:rFonts w:ascii="Times New Roman" w:hAnsi="Times New Roman" w:cs="Times New Roman"/>
              </w:rPr>
              <w:t xml:space="preserve"> объемов переданной </w:t>
            </w:r>
            <w:r w:rsidRPr="005F3C01">
              <w:rPr>
                <w:rFonts w:ascii="Times New Roman" w:hAnsi="Times New Roman" w:cs="Times New Roman"/>
              </w:rPr>
              <w:t>электрической энергии потребителю в отсутствие показаний счетчиков осуществляется:</w:t>
            </w:r>
          </w:p>
          <w:p w:rsidR="005E50F0" w:rsidRPr="005F3C01" w:rsidRDefault="005E50F0" w:rsidP="005E50F0">
            <w:pPr>
              <w:autoSpaceDE w:val="0"/>
              <w:autoSpaceDN w:val="0"/>
              <w:adjustRightInd w:val="0"/>
              <w:jc w:val="both"/>
              <w:rPr>
                <w:rFonts w:ascii="Times New Roman" w:hAnsi="Times New Roman" w:cs="Times New Roman"/>
              </w:rPr>
            </w:pPr>
            <w:r w:rsidRPr="005F3C01">
              <w:rPr>
                <w:rFonts w:ascii="Times New Roman" w:hAnsi="Times New Roman" w:cs="Times New Roman"/>
              </w:rPr>
              <w:t>1. Дл</w:t>
            </w:r>
            <w:r w:rsidR="008F5D8C">
              <w:rPr>
                <w:rFonts w:ascii="Times New Roman" w:hAnsi="Times New Roman" w:cs="Times New Roman"/>
              </w:rPr>
              <w:t xml:space="preserve">я потребителей юридических лиц </w:t>
            </w:r>
            <w:r w:rsidRPr="005F3C01">
              <w:rPr>
                <w:rFonts w:ascii="Times New Roman" w:hAnsi="Times New Roman" w:cs="Times New Roman"/>
              </w:rPr>
              <w:t xml:space="preserve"> за 1-ый и 2-ой расчетные </w:t>
            </w:r>
            <w:r w:rsidRPr="005F3C01">
              <w:rPr>
                <w:rFonts w:ascii="Times New Roman" w:hAnsi="Times New Roman" w:cs="Times New Roman"/>
              </w:rPr>
              <w:lastRenderedPageBreak/>
              <w:t>периоды подряд исходя из показаний расчетного прибора учета</w:t>
            </w:r>
            <w:r w:rsidR="00944EE8" w:rsidRPr="005F3C01">
              <w:rPr>
                <w:rFonts w:ascii="Times New Roman" w:hAnsi="Times New Roman" w:cs="Times New Roman"/>
              </w:rPr>
              <w:t xml:space="preserve"> электроэнергии </w:t>
            </w:r>
            <w:r w:rsidRPr="005F3C01">
              <w:rPr>
                <w:rFonts w:ascii="Times New Roman" w:hAnsi="Times New Roman" w:cs="Times New Roman"/>
              </w:rPr>
              <w:t xml:space="preserve">за аналогичный период предыдущего года, а в случае отсутствия данных за аналогичный период предыдущего года — </w:t>
            </w:r>
            <w:r w:rsidR="00944EE8" w:rsidRPr="005F3C01">
              <w:rPr>
                <w:rFonts w:ascii="Times New Roman" w:hAnsi="Times New Roman" w:cs="Times New Roman"/>
              </w:rPr>
              <w:t xml:space="preserve">на основании </w:t>
            </w:r>
            <w:r w:rsidRPr="005F3C01">
              <w:rPr>
                <w:rFonts w:ascii="Times New Roman" w:hAnsi="Times New Roman" w:cs="Times New Roman"/>
              </w:rPr>
              <w:t>показаний расчетного прибора учета за ближайший расчетный период, когда такие показания были предоставлены;</w:t>
            </w:r>
          </w:p>
          <w:p w:rsidR="00944EE8" w:rsidRPr="005F3C01" w:rsidRDefault="00944EE8" w:rsidP="007017EC">
            <w:pPr>
              <w:autoSpaceDE w:val="0"/>
              <w:autoSpaceDN w:val="0"/>
              <w:adjustRightInd w:val="0"/>
              <w:jc w:val="both"/>
              <w:rPr>
                <w:rFonts w:ascii="Times New Roman" w:hAnsi="Times New Roman" w:cs="Times New Roman"/>
              </w:rPr>
            </w:pPr>
          </w:p>
        </w:tc>
        <w:tc>
          <w:tcPr>
            <w:tcW w:w="672" w:type="pct"/>
          </w:tcPr>
          <w:p w:rsidR="00944EE8" w:rsidRPr="005F3C01" w:rsidRDefault="005E50F0" w:rsidP="00AA2827">
            <w:pPr>
              <w:autoSpaceDE w:val="0"/>
              <w:autoSpaceDN w:val="0"/>
              <w:adjustRightInd w:val="0"/>
              <w:jc w:val="both"/>
              <w:cnfStyle w:val="000000100000"/>
              <w:rPr>
                <w:rFonts w:ascii="Times New Roman" w:eastAsia="Times New Roman" w:hAnsi="Times New Roman" w:cs="Times New Roman"/>
                <w:lang w:eastAsia="ru-RU"/>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tcW w:w="854" w:type="pct"/>
          </w:tcPr>
          <w:p w:rsidR="005E50F0" w:rsidRPr="005F3C01" w:rsidRDefault="005E50F0" w:rsidP="005E50F0">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 </w:t>
            </w:r>
            <w:r w:rsidR="00944EE8" w:rsidRPr="005F3C01">
              <w:rPr>
                <w:rFonts w:ascii="Times New Roman" w:hAnsi="Times New Roman" w:cs="Times New Roman"/>
              </w:rPr>
              <w:t xml:space="preserve">до 10 числа месяца следующего за </w:t>
            </w:r>
            <w:r w:rsidRPr="005F3C01">
              <w:rPr>
                <w:rFonts w:ascii="Times New Roman" w:hAnsi="Times New Roman" w:cs="Times New Roman"/>
              </w:rPr>
              <w:t>расчетным</w:t>
            </w:r>
            <w:r w:rsidR="0017462F">
              <w:rPr>
                <w:rFonts w:ascii="Times New Roman" w:hAnsi="Times New Roman" w:cs="Times New Roman"/>
              </w:rPr>
              <w:t>,если иное не установлено договором оказания услуг по передаче электрической энергии.</w:t>
            </w:r>
          </w:p>
          <w:p w:rsidR="005E50F0" w:rsidRPr="005F3C01" w:rsidRDefault="005E50F0" w:rsidP="005E50F0">
            <w:pPr>
              <w:autoSpaceDE w:val="0"/>
              <w:autoSpaceDN w:val="0"/>
              <w:adjustRightInd w:val="0"/>
              <w:jc w:val="both"/>
              <w:rPr>
                <w:rFonts w:ascii="Times New Roman" w:hAnsi="Times New Roman" w:cs="Times New Roman"/>
              </w:rPr>
            </w:pPr>
          </w:p>
          <w:p w:rsidR="00944EE8" w:rsidRPr="005F3C01" w:rsidRDefault="00944EE8" w:rsidP="007017EC">
            <w:pPr>
              <w:autoSpaceDE w:val="0"/>
              <w:autoSpaceDN w:val="0"/>
              <w:adjustRightInd w:val="0"/>
              <w:jc w:val="both"/>
              <w:rPr>
                <w:rFonts w:ascii="Times New Roman" w:hAnsi="Times New Roman" w:cs="Times New Roman"/>
              </w:rPr>
            </w:pPr>
          </w:p>
        </w:tc>
        <w:tc>
          <w:tcPr>
            <w:tcW w:w="794" w:type="pct"/>
          </w:tcPr>
          <w:p w:rsidR="005E50F0" w:rsidRPr="005F3C01" w:rsidRDefault="005E50F0" w:rsidP="005E50F0">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Пункты 189, 166</w:t>
            </w:r>
            <w:r w:rsidR="00944EE8" w:rsidRPr="005F3C01">
              <w:rPr>
                <w:rFonts w:ascii="Times New Roman" w:hAnsi="Times New Roman" w:cs="Times New Roman"/>
              </w:rPr>
              <w:t xml:space="preserve"> Основ функционирования розничных рынков электрической энергии</w:t>
            </w: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5E50F0" w:rsidRPr="005F3C01" w:rsidRDefault="005E50F0" w:rsidP="005E50F0">
            <w:pPr>
              <w:autoSpaceDE w:val="0"/>
              <w:autoSpaceDN w:val="0"/>
              <w:adjustRightInd w:val="0"/>
              <w:jc w:val="both"/>
              <w:cnfStyle w:val="000000100000"/>
              <w:rPr>
                <w:rFonts w:ascii="Times New Roman" w:hAnsi="Times New Roman" w:cs="Times New Roman"/>
              </w:rPr>
            </w:pPr>
          </w:p>
          <w:p w:rsidR="00944EE8" w:rsidRPr="005F3C01" w:rsidRDefault="00944EE8" w:rsidP="00AA2827">
            <w:pPr>
              <w:autoSpaceDN w:val="0"/>
              <w:adjustRightInd w:val="0"/>
              <w:jc w:val="both"/>
              <w:cnfStyle w:val="000000100000"/>
              <w:rPr>
                <w:rFonts w:ascii="Times New Roman" w:hAnsi="Times New Roman" w:cs="Times New Roman"/>
              </w:rPr>
            </w:pPr>
          </w:p>
        </w:tc>
      </w:tr>
      <w:tr w:rsidR="005F3C01" w:rsidRPr="005F3C01" w:rsidTr="005F3C01">
        <w:trPr>
          <w:trHeight w:val="400"/>
        </w:trPr>
        <w:tc>
          <w:tcPr>
            <w:cnfStyle w:val="001000000000"/>
            <w:tcW w:w="199" w:type="pct"/>
          </w:tcPr>
          <w:p w:rsidR="005E50F0" w:rsidRPr="00D438C7" w:rsidRDefault="00AA2827" w:rsidP="008742FE">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lastRenderedPageBreak/>
              <w:t>4.4</w:t>
            </w:r>
          </w:p>
        </w:tc>
        <w:tc>
          <w:tcPr>
            <w:cnfStyle w:val="000010000000"/>
            <w:tcW w:w="642" w:type="pct"/>
          </w:tcPr>
          <w:p w:rsidR="00AA2827" w:rsidRPr="005F3C01" w:rsidRDefault="005E50F0"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расчетным способом </w:t>
            </w:r>
          </w:p>
          <w:p w:rsidR="005E50F0" w:rsidRPr="005F3C01" w:rsidRDefault="005E50F0" w:rsidP="00AA2827">
            <w:pPr>
              <w:autoSpaceDE w:val="0"/>
              <w:autoSpaceDN w:val="0"/>
              <w:adjustRightInd w:val="0"/>
              <w:jc w:val="both"/>
              <w:rPr>
                <w:rFonts w:ascii="Times New Roman" w:hAnsi="Times New Roman" w:cs="Times New Roman"/>
              </w:rPr>
            </w:pPr>
          </w:p>
        </w:tc>
        <w:tc>
          <w:tcPr>
            <w:tcW w:w="911" w:type="pct"/>
          </w:tcPr>
          <w:p w:rsidR="00AA2827" w:rsidRPr="005F3C01" w:rsidRDefault="00AA2827" w:rsidP="00AA282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Н</w:t>
            </w:r>
            <w:r w:rsidR="005E50F0" w:rsidRPr="005F3C01">
              <w:rPr>
                <w:rFonts w:ascii="Times New Roman" w:hAnsi="Times New Roman" w:cs="Times New Roman"/>
              </w:rPr>
              <w:t xml:space="preserve">е предоставление показаний расчетных и контрольных приборов учета электрической энергии в адрес </w:t>
            </w:r>
            <w:r w:rsidRPr="005F3C01">
              <w:rPr>
                <w:rFonts w:ascii="Times New Roman" w:hAnsi="Times New Roman" w:cs="Times New Roman"/>
              </w:rPr>
              <w:t xml:space="preserve">сетевой организации  </w:t>
            </w:r>
            <w:r w:rsidR="005E50F0" w:rsidRPr="005F3C01">
              <w:rPr>
                <w:rFonts w:ascii="Times New Roman" w:hAnsi="Times New Roman" w:cs="Times New Roman"/>
              </w:rPr>
              <w:t>после 2 числа месяца, следующего за расчетным</w:t>
            </w:r>
            <w:r w:rsidRPr="005F3C01">
              <w:rPr>
                <w:rFonts w:ascii="Times New Roman" w:hAnsi="Times New Roman" w:cs="Times New Roman"/>
              </w:rPr>
              <w:t>:</w:t>
            </w: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 юридическими лицами  более 2-х расчетных периодов подряд;</w:t>
            </w:r>
          </w:p>
          <w:p w:rsidR="005E50F0" w:rsidRPr="005F3C01" w:rsidRDefault="005E50F0" w:rsidP="00AA2827">
            <w:pPr>
              <w:autoSpaceDE w:val="0"/>
              <w:autoSpaceDN w:val="0"/>
              <w:adjustRightInd w:val="0"/>
              <w:jc w:val="both"/>
              <w:cnfStyle w:val="000000000000"/>
              <w:rPr>
                <w:rFonts w:ascii="Times New Roman" w:hAnsi="Times New Roman" w:cs="Times New Roman"/>
              </w:rPr>
            </w:pPr>
          </w:p>
        </w:tc>
        <w:tc>
          <w:tcPr>
            <w:cnfStyle w:val="000010000000"/>
            <w:tcW w:w="928"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в отсутствие показаний приборов учета  осуществляется: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начиная с 3-го и в последующие периоды подряд расчетным способом  путем произведения  максимальной мощности энергопринимающих устройств соответствующей точки </w:t>
            </w:r>
            <w:r w:rsidRPr="005F3C01">
              <w:rPr>
                <w:rFonts w:ascii="Times New Roman" w:hAnsi="Times New Roman" w:cs="Times New Roman"/>
              </w:rPr>
              <w:lastRenderedPageBreak/>
              <w:t>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5E50F0" w:rsidRPr="005F3C01" w:rsidRDefault="005E50F0" w:rsidP="00AA2827">
            <w:pPr>
              <w:autoSpaceDE w:val="0"/>
              <w:autoSpaceDN w:val="0"/>
              <w:adjustRightInd w:val="0"/>
              <w:jc w:val="both"/>
              <w:rPr>
                <w:rFonts w:ascii="Times New Roman" w:hAnsi="Times New Roman" w:cs="Times New Roman"/>
              </w:rPr>
            </w:pPr>
          </w:p>
        </w:tc>
        <w:tc>
          <w:tcPr>
            <w:tcW w:w="672" w:type="pct"/>
          </w:tcPr>
          <w:p w:rsidR="005E50F0" w:rsidRPr="005F3C01" w:rsidRDefault="00AA2827" w:rsidP="00AA282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tcW w:w="854" w:type="pct"/>
          </w:tcPr>
          <w:p w:rsidR="005E50F0"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p>
          <w:p w:rsidR="005E50F0" w:rsidRPr="005F3C01" w:rsidRDefault="005E50F0"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 </w:t>
            </w:r>
          </w:p>
        </w:tc>
        <w:tc>
          <w:tcPr>
            <w:tcW w:w="794" w:type="pct"/>
          </w:tcPr>
          <w:p w:rsidR="00AA2827" w:rsidRPr="005F3C01" w:rsidRDefault="00AA2827" w:rsidP="00AA282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Пункт 166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5E50F0" w:rsidRPr="005F3C01" w:rsidRDefault="005E50F0" w:rsidP="00AA2827">
            <w:pPr>
              <w:autoSpaceDE w:val="0"/>
              <w:autoSpaceDN w:val="0"/>
              <w:adjustRightInd w:val="0"/>
              <w:jc w:val="both"/>
              <w:cnfStyle w:val="000000000000"/>
              <w:rPr>
                <w:rFonts w:ascii="Times New Roman" w:hAnsi="Times New Roman" w:cs="Times New Roman"/>
              </w:rPr>
            </w:pPr>
          </w:p>
        </w:tc>
      </w:tr>
      <w:tr w:rsidR="005F3C01" w:rsidRPr="005F3C01" w:rsidTr="005F3C01">
        <w:trPr>
          <w:cnfStyle w:val="000000100000"/>
          <w:trHeight w:val="400"/>
        </w:trPr>
        <w:tc>
          <w:tcPr>
            <w:cnfStyle w:val="001000000000"/>
            <w:tcW w:w="199" w:type="pct"/>
          </w:tcPr>
          <w:p w:rsidR="00AA2827" w:rsidRPr="00D438C7" w:rsidRDefault="00AA2827" w:rsidP="008742FE">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lastRenderedPageBreak/>
              <w:t>4.5</w:t>
            </w:r>
          </w:p>
        </w:tc>
        <w:tc>
          <w:tcPr>
            <w:cnfStyle w:val="000010000000"/>
            <w:tcW w:w="642"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911" w:type="pct"/>
          </w:tcPr>
          <w:p w:rsidR="00AA2827" w:rsidRPr="005F3C01" w:rsidRDefault="00AA2827" w:rsidP="00AA2827">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Наличие двух актов об отказе в доступе к приборам учета электрической энергии, составленных подряд</w:t>
            </w:r>
          </w:p>
        </w:tc>
        <w:tc>
          <w:tcPr>
            <w:cnfStyle w:val="000010000000"/>
            <w:tcW w:w="928"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при 2-кратном недопуске к счетчикам осуществляется: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за исключением исполнителей коммунальных услуг, с момента составления второго подряд акта об отказе в доступе к приборам учета электроэнергии вплоть до даты допуска к счетчикам расчетным способом  путем произведения  максимальной мощности ЭПУ соответствующей </w:t>
            </w:r>
            <w:r w:rsidRPr="005F3C01">
              <w:rPr>
                <w:rFonts w:ascii="Times New Roman" w:hAnsi="Times New Roman" w:cs="Times New Roman"/>
              </w:rPr>
              <w:lastRenderedPageBreak/>
              <w:t>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AA2827" w:rsidRPr="005F3C01" w:rsidRDefault="00AA2827" w:rsidP="00AA2827">
            <w:pPr>
              <w:autoSpaceDE w:val="0"/>
              <w:autoSpaceDN w:val="0"/>
              <w:adjustRightInd w:val="0"/>
              <w:jc w:val="both"/>
              <w:rPr>
                <w:rFonts w:ascii="Times New Roman" w:hAnsi="Times New Roman" w:cs="Times New Roman"/>
              </w:rPr>
            </w:pPr>
          </w:p>
        </w:tc>
        <w:tc>
          <w:tcPr>
            <w:tcW w:w="672" w:type="pct"/>
          </w:tcPr>
          <w:p w:rsidR="00AA2827" w:rsidRPr="005F3C01" w:rsidRDefault="00AA2827" w:rsidP="00AA2827">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tcW w:w="854"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tc>
        <w:tc>
          <w:tcPr>
            <w:tcW w:w="794" w:type="pct"/>
          </w:tcPr>
          <w:p w:rsidR="00AA2827" w:rsidRPr="005F3C01" w:rsidRDefault="00AA2827" w:rsidP="00AA2827">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Пункт 189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Пункт 178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p w:rsidR="00AA2827" w:rsidRPr="005F3C01" w:rsidRDefault="00AA2827" w:rsidP="00AA2827">
            <w:pPr>
              <w:autoSpaceDE w:val="0"/>
              <w:autoSpaceDN w:val="0"/>
              <w:adjustRightInd w:val="0"/>
              <w:jc w:val="both"/>
              <w:cnfStyle w:val="000000100000"/>
              <w:rPr>
                <w:rFonts w:ascii="Times New Roman" w:hAnsi="Times New Roman" w:cs="Times New Roman"/>
              </w:rPr>
            </w:pPr>
          </w:p>
        </w:tc>
      </w:tr>
      <w:tr w:rsidR="005F3C01" w:rsidRPr="005F3C01" w:rsidTr="005F3C01">
        <w:trPr>
          <w:trHeight w:val="400"/>
        </w:trPr>
        <w:tc>
          <w:tcPr>
            <w:cnfStyle w:val="001000000000"/>
            <w:tcW w:w="199" w:type="pct"/>
          </w:tcPr>
          <w:p w:rsidR="00AA2827" w:rsidRPr="00D438C7" w:rsidRDefault="00AA2827" w:rsidP="008742FE">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lastRenderedPageBreak/>
              <w:t>4.6</w:t>
            </w:r>
          </w:p>
        </w:tc>
        <w:tc>
          <w:tcPr>
            <w:cnfStyle w:val="000010000000"/>
            <w:tcW w:w="642"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расчетным способом</w:t>
            </w:r>
          </w:p>
        </w:tc>
        <w:tc>
          <w:tcPr>
            <w:tcW w:w="911" w:type="pct"/>
          </w:tcPr>
          <w:p w:rsidR="00AA2827" w:rsidRPr="005F3C01" w:rsidRDefault="00AA2827" w:rsidP="00AA282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Отсутствие прибора учета за исключением  случаев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rsidR="00AA2827" w:rsidRPr="005F3C01" w:rsidRDefault="00AA2827" w:rsidP="00AA2827">
            <w:pPr>
              <w:autoSpaceDE w:val="0"/>
              <w:autoSpaceDN w:val="0"/>
              <w:adjustRightInd w:val="0"/>
              <w:jc w:val="both"/>
              <w:cnfStyle w:val="000000000000"/>
              <w:rPr>
                <w:rFonts w:ascii="Times New Roman" w:hAnsi="Times New Roman" w:cs="Times New Roman"/>
              </w:rPr>
            </w:pPr>
          </w:p>
        </w:tc>
        <w:tc>
          <w:tcPr>
            <w:cnfStyle w:val="000010000000"/>
            <w:tcW w:w="928"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переданной электрической энергии потребителю  в случае отсутствия прибора учета электрической энергии осуществляется:</w:t>
            </w:r>
          </w:p>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1. Для потребителей юридических лиц,  и потребителей с потребляемой мощностью менее 5 кВт -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w:t>
            </w:r>
            <w:r w:rsidRPr="005F3C01">
              <w:rPr>
                <w:rFonts w:ascii="Times New Roman" w:hAnsi="Times New Roman" w:cs="Times New Roman"/>
              </w:rPr>
              <w:lastRenderedPageBreak/>
              <w:t>максимальной мощности энергопринимающих устройств — исходя из допустимой длительной токовой нагрузки вводного провода (кабеля);</w:t>
            </w:r>
          </w:p>
          <w:p w:rsidR="00AA2827" w:rsidRPr="005F3C01" w:rsidRDefault="00CB7574" w:rsidP="00AA2827">
            <w:pPr>
              <w:autoSpaceDE w:val="0"/>
              <w:autoSpaceDN w:val="0"/>
              <w:adjustRightInd w:val="0"/>
              <w:jc w:val="both"/>
              <w:rPr>
                <w:rFonts w:ascii="Times New Roman" w:hAnsi="Times New Roman" w:cs="Times New Roman"/>
              </w:rPr>
            </w:pPr>
            <w:r>
              <w:rPr>
                <w:rFonts w:ascii="Times New Roman" w:hAnsi="Times New Roman" w:cs="Times New Roman"/>
              </w:rPr>
              <w:t>2</w:t>
            </w:r>
            <w:r w:rsidR="00AA2827" w:rsidRPr="005F3C01">
              <w:rPr>
                <w:rFonts w:ascii="Times New Roman" w:hAnsi="Times New Roman" w:cs="Times New Roman"/>
              </w:rPr>
              <w:t>. Для  потребителей с потребляемой мощностью менее 5 кВт — путем произведения  максимальной мощности энергопринимающих устройств соответствующей точки поставки и фактического количества часов работы в расчетном периоде, умноженного на коэффициент 1,1.</w:t>
            </w:r>
          </w:p>
        </w:tc>
        <w:tc>
          <w:tcPr>
            <w:tcW w:w="672" w:type="pct"/>
          </w:tcPr>
          <w:p w:rsidR="00AA2827" w:rsidRPr="005F3C01" w:rsidRDefault="00AA2827" w:rsidP="00AA282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w:t>
            </w:r>
          </w:p>
        </w:tc>
        <w:tc>
          <w:tcPr>
            <w:cnfStyle w:val="000010000000"/>
            <w:tcW w:w="854" w:type="pct"/>
          </w:tcPr>
          <w:p w:rsidR="00AA2827" w:rsidRPr="005F3C01" w:rsidRDefault="00AA2827" w:rsidP="00AA2827">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p w:rsidR="00AA2827" w:rsidRPr="005F3C01" w:rsidRDefault="00AA2827" w:rsidP="00AA2827">
            <w:pPr>
              <w:autoSpaceDE w:val="0"/>
              <w:autoSpaceDN w:val="0"/>
              <w:adjustRightInd w:val="0"/>
              <w:jc w:val="both"/>
              <w:rPr>
                <w:rFonts w:ascii="Times New Roman" w:hAnsi="Times New Roman" w:cs="Times New Roman"/>
              </w:rPr>
            </w:pPr>
          </w:p>
        </w:tc>
        <w:tc>
          <w:tcPr>
            <w:tcW w:w="794" w:type="pct"/>
          </w:tcPr>
          <w:p w:rsidR="00AA2827" w:rsidRPr="005F3C01" w:rsidRDefault="00AA2827" w:rsidP="00AA282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Пункт 189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Пункт 181 Основ функционирования розничных рынков электрической энергии</w:t>
            </w: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p>
          <w:p w:rsidR="003146E9" w:rsidRPr="005F3C01" w:rsidRDefault="003146E9" w:rsidP="00AA2827">
            <w:pPr>
              <w:autoSpaceDE w:val="0"/>
              <w:autoSpaceDN w:val="0"/>
              <w:adjustRightInd w:val="0"/>
              <w:jc w:val="both"/>
              <w:cnfStyle w:val="000000000000"/>
              <w:rPr>
                <w:rFonts w:ascii="Times New Roman" w:hAnsi="Times New Roman" w:cs="Times New Roman"/>
              </w:rPr>
            </w:pPr>
          </w:p>
          <w:p w:rsidR="00AA2827" w:rsidRPr="005F3C01" w:rsidRDefault="00AA2827" w:rsidP="00AA2827">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Пункт 1 статьи 13 Федерального закона РФ от 23.11.2009 г. № 261-ФЗ</w:t>
            </w:r>
          </w:p>
        </w:tc>
      </w:tr>
      <w:tr w:rsidR="005F3C01" w:rsidRPr="005F3C01" w:rsidTr="005F3C01">
        <w:trPr>
          <w:cnfStyle w:val="000000100000"/>
          <w:trHeight w:val="400"/>
        </w:trPr>
        <w:tc>
          <w:tcPr>
            <w:cnfStyle w:val="001000000000"/>
            <w:tcW w:w="199" w:type="pct"/>
          </w:tcPr>
          <w:p w:rsidR="00EE73BD" w:rsidRPr="00D438C7" w:rsidRDefault="003146E9" w:rsidP="008742FE">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lastRenderedPageBreak/>
              <w:t>4.7</w:t>
            </w:r>
          </w:p>
        </w:tc>
        <w:tc>
          <w:tcPr>
            <w:cnfStyle w:val="000010000000"/>
            <w:tcW w:w="642" w:type="pct"/>
          </w:tcPr>
          <w:p w:rsidR="00EE73BD" w:rsidRPr="005F3C01" w:rsidRDefault="00EE73BD" w:rsidP="003146E9">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911" w:type="pct"/>
          </w:tcPr>
          <w:p w:rsidR="00EE73BD" w:rsidRPr="005F3C01" w:rsidRDefault="00EB1CA6" w:rsidP="00405006">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У</w:t>
            </w:r>
            <w:r w:rsidR="00EE73BD" w:rsidRPr="005F3C01">
              <w:rPr>
                <w:rFonts w:ascii="Times New Roman" w:hAnsi="Times New Roman" w:cs="Times New Roman"/>
              </w:rPr>
              <w:t>становка прибора учета не на границе балансовой принадлежности потребителя и</w:t>
            </w:r>
            <w:r w:rsidR="004E4587">
              <w:rPr>
                <w:rFonts w:ascii="Times New Roman" w:hAnsi="Times New Roman" w:cs="Times New Roman"/>
              </w:rPr>
              <w:t xml:space="preserve"> </w:t>
            </w:r>
            <w:r w:rsidR="00405006">
              <w:rPr>
                <w:rFonts w:ascii="Times New Roman" w:hAnsi="Times New Roman" w:cs="Times New Roman"/>
                <w:sz w:val="24"/>
                <w:szCs w:val="24"/>
              </w:rPr>
              <w:t>сетевой организацией</w:t>
            </w:r>
            <w:r w:rsidR="004E4587" w:rsidRPr="005152BE">
              <w:rPr>
                <w:rFonts w:ascii="Times New Roman" w:hAnsi="Times New Roman" w:cs="Times New Roman"/>
                <w:sz w:val="24"/>
                <w:szCs w:val="24"/>
              </w:rPr>
              <w:t xml:space="preserve"> </w:t>
            </w:r>
          </w:p>
        </w:tc>
        <w:tc>
          <w:tcPr>
            <w:cnfStyle w:val="000010000000"/>
            <w:tcW w:w="928" w:type="pct"/>
          </w:tcPr>
          <w:p w:rsidR="00EE73BD"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 xml:space="preserve">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w:t>
            </w:r>
            <w:r w:rsidRPr="005F3C01">
              <w:rPr>
                <w:rFonts w:ascii="Times New Roman" w:hAnsi="Times New Roman" w:cs="Times New Roman"/>
              </w:rPr>
              <w:lastRenderedPageBreak/>
              <w:t>соответствии с аттестованной методикой.</w:t>
            </w:r>
          </w:p>
        </w:tc>
        <w:tc>
          <w:tcPr>
            <w:tcW w:w="672" w:type="pct"/>
          </w:tcPr>
          <w:p w:rsidR="00EE73BD" w:rsidRPr="005F3C01" w:rsidRDefault="003146E9" w:rsidP="00EE73BD">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lastRenderedPageBreak/>
              <w:t>Письменно, с использованием программного обеспечения и аттестованной методики</w:t>
            </w:r>
          </w:p>
        </w:tc>
        <w:tc>
          <w:tcPr>
            <w:cnfStyle w:val="000010000000"/>
            <w:tcW w:w="854" w:type="pct"/>
          </w:tcPr>
          <w:p w:rsidR="00EE73BD" w:rsidRPr="005F3C01" w:rsidRDefault="003146E9"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до 10 числа месяца следующего за расчетным</w:t>
            </w:r>
          </w:p>
        </w:tc>
        <w:tc>
          <w:tcPr>
            <w:tcW w:w="794" w:type="pct"/>
          </w:tcPr>
          <w:p w:rsidR="00EE73BD" w:rsidRPr="005F3C01" w:rsidRDefault="00EE73BD" w:rsidP="00EE73BD">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Пункты 144, 189 Основ функционирования розничных рынков электрической энергии</w:t>
            </w:r>
          </w:p>
          <w:p w:rsidR="00EE73BD" w:rsidRPr="005F3C01" w:rsidRDefault="00EE73BD" w:rsidP="009C120A">
            <w:pPr>
              <w:autoSpaceDE w:val="0"/>
              <w:autoSpaceDN w:val="0"/>
              <w:adjustRightInd w:val="0"/>
              <w:jc w:val="both"/>
              <w:cnfStyle w:val="000000100000"/>
              <w:rPr>
                <w:rFonts w:ascii="Times New Roman" w:hAnsi="Times New Roman" w:cs="Times New Roman"/>
              </w:rPr>
            </w:pPr>
          </w:p>
        </w:tc>
      </w:tr>
      <w:tr w:rsidR="005F3C01" w:rsidRPr="005F3C01" w:rsidTr="005F3C01">
        <w:trPr>
          <w:trHeight w:val="400"/>
        </w:trPr>
        <w:tc>
          <w:tcPr>
            <w:cnfStyle w:val="001000000000"/>
            <w:tcW w:w="199" w:type="pct"/>
          </w:tcPr>
          <w:p w:rsidR="00EE73BD" w:rsidRPr="00D438C7" w:rsidRDefault="00EB1CA6" w:rsidP="008742FE">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lastRenderedPageBreak/>
              <w:t>4.8</w:t>
            </w:r>
          </w:p>
        </w:tc>
        <w:tc>
          <w:tcPr>
            <w:cnfStyle w:val="000010000000"/>
            <w:tcW w:w="642" w:type="pct"/>
          </w:tcPr>
          <w:p w:rsidR="00EE73BD" w:rsidRPr="005F3C01" w:rsidRDefault="00EE73BD"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объема безучетного потребления электрической энергии</w:t>
            </w:r>
          </w:p>
        </w:tc>
        <w:tc>
          <w:tcPr>
            <w:tcW w:w="911" w:type="pct"/>
          </w:tcPr>
          <w:p w:rsidR="00EE73BD" w:rsidRPr="005F3C01" w:rsidRDefault="00EB1CA6" w:rsidP="00EE73BD">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В</w:t>
            </w:r>
            <w:r w:rsidR="00EE73BD" w:rsidRPr="005F3C01">
              <w:rPr>
                <w:rFonts w:ascii="Times New Roman" w:hAnsi="Times New Roman" w:cs="Times New Roman"/>
              </w:rPr>
              <w:t>ыявление факта безучетного потребления электроэнергии и составления акта о неучтенном потреблении элект</w:t>
            </w:r>
            <w:r w:rsidRPr="005F3C01">
              <w:rPr>
                <w:rFonts w:ascii="Times New Roman" w:hAnsi="Times New Roman" w:cs="Times New Roman"/>
              </w:rPr>
              <w:t xml:space="preserve">роэнергии. </w:t>
            </w:r>
            <w:r w:rsidR="00EE73BD" w:rsidRPr="005F3C01">
              <w:rPr>
                <w:rFonts w:ascii="Times New Roman" w:hAnsi="Times New Roman" w:cs="Times New Roman"/>
              </w:rPr>
              <w:t xml:space="preserve"> </w:t>
            </w:r>
          </w:p>
        </w:tc>
        <w:tc>
          <w:tcPr>
            <w:cnfStyle w:val="000010000000"/>
            <w:tcW w:w="928" w:type="pct"/>
          </w:tcPr>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безучетного потребления электрической энергии  потребителем осуществляется с даты предыдущей контрольной проверки прибора учета электрической энергии (но не более, чем за 1 год) в следующем порядке:</w:t>
            </w:r>
          </w:p>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1. Для потребителей юридических лиц,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EE73BD" w:rsidRPr="005F3C01" w:rsidRDefault="00EE73BD" w:rsidP="00CB7574">
            <w:pPr>
              <w:autoSpaceDE w:val="0"/>
              <w:autoSpaceDN w:val="0"/>
              <w:adjustRightInd w:val="0"/>
              <w:jc w:val="both"/>
              <w:rPr>
                <w:rFonts w:ascii="Times New Roman" w:hAnsi="Times New Roman" w:cs="Times New Roman"/>
              </w:rPr>
            </w:pPr>
          </w:p>
        </w:tc>
        <w:tc>
          <w:tcPr>
            <w:tcW w:w="672" w:type="pct"/>
          </w:tcPr>
          <w:p w:rsidR="00EE73BD" w:rsidRPr="005F3C01" w:rsidRDefault="00EB1CA6" w:rsidP="00EE73BD">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Письменно</w:t>
            </w:r>
          </w:p>
        </w:tc>
        <w:tc>
          <w:tcPr>
            <w:cnfStyle w:val="000010000000"/>
            <w:tcW w:w="854" w:type="pct"/>
          </w:tcPr>
          <w:p w:rsidR="00EE73BD" w:rsidRPr="005F3C01" w:rsidRDefault="00EB1CA6"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в течение 2 рабочих дней с момента составления акта о безучетном потреблении</w:t>
            </w:r>
          </w:p>
        </w:tc>
        <w:tc>
          <w:tcPr>
            <w:tcW w:w="794" w:type="pct"/>
          </w:tcPr>
          <w:p w:rsidR="00EE73BD" w:rsidRPr="005F3C01" w:rsidRDefault="00EE73BD" w:rsidP="009C120A">
            <w:pPr>
              <w:autoSpaceDE w:val="0"/>
              <w:autoSpaceDN w:val="0"/>
              <w:adjustRightInd w:val="0"/>
              <w:jc w:val="both"/>
              <w:cnfStyle w:val="000000000000"/>
              <w:rPr>
                <w:rFonts w:ascii="Times New Roman" w:hAnsi="Times New Roman" w:cs="Times New Roman"/>
              </w:rPr>
            </w:pPr>
            <w:r w:rsidRPr="005F3C01">
              <w:rPr>
                <w:rFonts w:ascii="Times New Roman" w:hAnsi="Times New Roman" w:cs="Times New Roman"/>
              </w:rPr>
              <w:t>Пункты 194, 195 Основ функционирования розничных рынков электрической энергии</w:t>
            </w:r>
          </w:p>
          <w:p w:rsidR="00EE73BD" w:rsidRPr="005F3C01" w:rsidRDefault="00EE73BD" w:rsidP="009C120A">
            <w:pPr>
              <w:autoSpaceDE w:val="0"/>
              <w:autoSpaceDN w:val="0"/>
              <w:adjustRightInd w:val="0"/>
              <w:jc w:val="both"/>
              <w:cnfStyle w:val="000000000000"/>
              <w:rPr>
                <w:rFonts w:ascii="Times New Roman" w:hAnsi="Times New Roman" w:cs="Times New Roman"/>
              </w:rPr>
            </w:pPr>
          </w:p>
        </w:tc>
      </w:tr>
      <w:tr w:rsidR="005F3C01" w:rsidRPr="005F3C01" w:rsidTr="005F3C01">
        <w:trPr>
          <w:cnfStyle w:val="000000100000"/>
          <w:trHeight w:val="400"/>
        </w:trPr>
        <w:tc>
          <w:tcPr>
            <w:cnfStyle w:val="001000000000"/>
            <w:tcW w:w="199" w:type="pct"/>
          </w:tcPr>
          <w:p w:rsidR="00EE73BD" w:rsidRPr="00D438C7" w:rsidRDefault="00EB1CA6" w:rsidP="008742FE">
            <w:pPr>
              <w:jc w:val="both"/>
              <w:rPr>
                <w:rFonts w:ascii="Times New Roman" w:eastAsia="Times New Roman" w:hAnsi="Times New Roman" w:cs="Times New Roman"/>
                <w:lang w:eastAsia="ru-RU"/>
              </w:rPr>
            </w:pPr>
            <w:r w:rsidRPr="00D438C7">
              <w:rPr>
                <w:rFonts w:ascii="Times New Roman" w:eastAsia="Times New Roman" w:hAnsi="Times New Roman" w:cs="Times New Roman"/>
                <w:lang w:eastAsia="ru-RU"/>
              </w:rPr>
              <w:lastRenderedPageBreak/>
              <w:t>4.9</w:t>
            </w:r>
          </w:p>
        </w:tc>
        <w:tc>
          <w:tcPr>
            <w:cnfStyle w:val="000010000000"/>
            <w:tcW w:w="642" w:type="pct"/>
          </w:tcPr>
          <w:p w:rsidR="00EE73BD" w:rsidRPr="005F3C01" w:rsidRDefault="00EE73BD"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объема бездоговорного потребления электрической энергии</w:t>
            </w:r>
          </w:p>
        </w:tc>
        <w:tc>
          <w:tcPr>
            <w:tcW w:w="911" w:type="pct"/>
          </w:tcPr>
          <w:p w:rsidR="00EE73BD" w:rsidRPr="005F3C01" w:rsidRDefault="00EB1CA6" w:rsidP="00EE73BD">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В</w:t>
            </w:r>
            <w:r w:rsidR="00EE73BD" w:rsidRPr="005F3C01">
              <w:rPr>
                <w:rFonts w:ascii="Times New Roman" w:hAnsi="Times New Roman" w:cs="Times New Roman"/>
              </w:rPr>
              <w:t>ыявление факта бездоговорного потребления электроэнергии и составления акта о бездоговорн</w:t>
            </w:r>
            <w:r w:rsidRPr="005F3C01">
              <w:rPr>
                <w:rFonts w:ascii="Times New Roman" w:hAnsi="Times New Roman" w:cs="Times New Roman"/>
              </w:rPr>
              <w:t>ом потреблении электроэнергии.</w:t>
            </w:r>
            <w:r w:rsidR="00EE73BD" w:rsidRPr="005F3C01">
              <w:rPr>
                <w:rFonts w:ascii="Times New Roman" w:hAnsi="Times New Roman" w:cs="Times New Roman"/>
              </w:rPr>
              <w:t xml:space="preserve"> </w:t>
            </w:r>
          </w:p>
        </w:tc>
        <w:tc>
          <w:tcPr>
            <w:cnfStyle w:val="000010000000"/>
            <w:tcW w:w="928" w:type="pct"/>
          </w:tcPr>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Определение объемов бездоговорного потребления электрической энергии  потребителем производится за период времени в течение которого осуществлялось бездоговорное потребление электрической энергии (но не более, чем за 3 года) в следующем порядке:</w:t>
            </w:r>
          </w:p>
          <w:p w:rsidR="00EB1CA6" w:rsidRPr="005F3C01" w:rsidRDefault="00EB1CA6" w:rsidP="00EB1CA6">
            <w:pPr>
              <w:autoSpaceDE w:val="0"/>
              <w:autoSpaceDN w:val="0"/>
              <w:adjustRightInd w:val="0"/>
              <w:jc w:val="both"/>
              <w:rPr>
                <w:rFonts w:ascii="Times New Roman" w:hAnsi="Times New Roman" w:cs="Times New Roman"/>
              </w:rPr>
            </w:pPr>
            <w:r w:rsidRPr="005F3C01">
              <w:rPr>
                <w:rFonts w:ascii="Times New Roman" w:hAnsi="Times New Roman" w:cs="Times New Roman"/>
              </w:rPr>
              <w:t>1. Дл</w:t>
            </w:r>
            <w:r w:rsidR="00CB7574">
              <w:rPr>
                <w:rFonts w:ascii="Times New Roman" w:hAnsi="Times New Roman" w:cs="Times New Roman"/>
              </w:rPr>
              <w:t>я потребителей юридических лиц</w:t>
            </w:r>
            <w:r w:rsidRPr="005F3C01">
              <w:rPr>
                <w:rFonts w:ascii="Times New Roman" w:hAnsi="Times New Roman" w:cs="Times New Roman"/>
              </w:rPr>
              <w:t xml:space="preserve"> расчетным способом  исходя из допустимой длительной токовой нагрузки каждого вводного провода (кабеля).</w:t>
            </w:r>
          </w:p>
          <w:p w:rsidR="00EE73BD" w:rsidRPr="005F3C01" w:rsidRDefault="00EE73BD" w:rsidP="00EB1CA6">
            <w:pPr>
              <w:autoSpaceDE w:val="0"/>
              <w:autoSpaceDN w:val="0"/>
              <w:adjustRightInd w:val="0"/>
              <w:jc w:val="both"/>
              <w:rPr>
                <w:rFonts w:ascii="Times New Roman" w:hAnsi="Times New Roman" w:cs="Times New Roman"/>
              </w:rPr>
            </w:pPr>
          </w:p>
        </w:tc>
        <w:tc>
          <w:tcPr>
            <w:tcW w:w="672" w:type="pct"/>
          </w:tcPr>
          <w:p w:rsidR="00EE73BD" w:rsidRPr="005F3C01" w:rsidRDefault="00EB1CA6" w:rsidP="00EE73BD">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Письменно</w:t>
            </w:r>
          </w:p>
        </w:tc>
        <w:tc>
          <w:tcPr>
            <w:cnfStyle w:val="000010000000"/>
            <w:tcW w:w="854" w:type="pct"/>
          </w:tcPr>
          <w:p w:rsidR="00EE73BD" w:rsidRPr="005F3C01" w:rsidRDefault="00EB1CA6" w:rsidP="00EE73BD">
            <w:pPr>
              <w:autoSpaceDE w:val="0"/>
              <w:autoSpaceDN w:val="0"/>
              <w:adjustRightInd w:val="0"/>
              <w:jc w:val="both"/>
              <w:rPr>
                <w:rFonts w:ascii="Times New Roman" w:hAnsi="Times New Roman" w:cs="Times New Roman"/>
              </w:rPr>
            </w:pPr>
            <w:r w:rsidRPr="005F3C01">
              <w:rPr>
                <w:rFonts w:ascii="Times New Roman" w:hAnsi="Times New Roman" w:cs="Times New Roman"/>
              </w:rPr>
              <w:t>в течение 2 рабочих дней с момента составления акта о бездоговорном потреблении</w:t>
            </w:r>
          </w:p>
        </w:tc>
        <w:tc>
          <w:tcPr>
            <w:tcW w:w="794" w:type="pct"/>
          </w:tcPr>
          <w:p w:rsidR="00EE73BD" w:rsidRPr="005F3C01" w:rsidRDefault="003146E9" w:rsidP="003146E9">
            <w:pPr>
              <w:autoSpaceDE w:val="0"/>
              <w:autoSpaceDN w:val="0"/>
              <w:adjustRightInd w:val="0"/>
              <w:jc w:val="both"/>
              <w:cnfStyle w:val="000000100000"/>
              <w:rPr>
                <w:rFonts w:ascii="Times New Roman" w:hAnsi="Times New Roman" w:cs="Times New Roman"/>
              </w:rPr>
            </w:pPr>
            <w:r w:rsidRPr="005F3C01">
              <w:rPr>
                <w:rFonts w:ascii="Times New Roman" w:hAnsi="Times New Roman" w:cs="Times New Roman"/>
              </w:rPr>
              <w:t xml:space="preserve">Пункты </w:t>
            </w:r>
            <w:r w:rsidR="00EE73BD" w:rsidRPr="005F3C01">
              <w:rPr>
                <w:rFonts w:ascii="Times New Roman" w:hAnsi="Times New Roman" w:cs="Times New Roman"/>
              </w:rPr>
              <w:t xml:space="preserve">195, 196 </w:t>
            </w:r>
            <w:r w:rsidRPr="005F3C01">
              <w:rPr>
                <w:rFonts w:ascii="Times New Roman" w:hAnsi="Times New Roman" w:cs="Times New Roman"/>
              </w:rPr>
              <w:t>Основ функционирования розничных рынков электрической энергии</w:t>
            </w:r>
          </w:p>
        </w:tc>
      </w:tr>
    </w:tbl>
    <w:p w:rsidR="00950292" w:rsidRPr="005F3C01" w:rsidRDefault="00950292" w:rsidP="00C02B7A">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rsidR="00D438C7" w:rsidRPr="001A5F6A" w:rsidRDefault="00D438C7" w:rsidP="00D438C7">
      <w:pPr>
        <w:autoSpaceDE w:val="0"/>
        <w:autoSpaceDN w:val="0"/>
        <w:adjustRightInd w:val="0"/>
        <w:spacing w:after="0" w:line="240" w:lineRule="auto"/>
        <w:jc w:val="both"/>
        <w:rPr>
          <w:rFonts w:ascii="Times New Roman" w:hAnsi="Times New Roman"/>
          <w:sz w:val="24"/>
          <w:szCs w:val="24"/>
        </w:rPr>
      </w:pPr>
      <w:r w:rsidRPr="001A5F6A">
        <w:rPr>
          <w:rFonts w:ascii="Times New Roman" w:hAnsi="Times New Roman"/>
          <w:b/>
          <w:sz w:val="24"/>
          <w:szCs w:val="24"/>
        </w:rPr>
        <w:t>КОНТАКТНАЯ ИНФОРМАЦИЯ ДЛЯ НАПРАВЛЕНИЯ ОБРАЩЕНИИЙ:</w:t>
      </w:r>
      <w:r w:rsidRPr="001A5F6A">
        <w:rPr>
          <w:rFonts w:ascii="Times New Roman" w:hAnsi="Times New Roman"/>
          <w:sz w:val="24"/>
          <w:szCs w:val="24"/>
        </w:rPr>
        <w:t xml:space="preserve"> </w:t>
      </w:r>
    </w:p>
    <w:p w:rsidR="00D438C7" w:rsidRPr="001A5F6A" w:rsidRDefault="00D438C7" w:rsidP="00D438C7">
      <w:pPr>
        <w:autoSpaceDE w:val="0"/>
        <w:autoSpaceDN w:val="0"/>
        <w:adjustRightInd w:val="0"/>
        <w:spacing w:after="0" w:line="240" w:lineRule="auto"/>
        <w:jc w:val="both"/>
        <w:rPr>
          <w:rFonts w:ascii="Times New Roman" w:hAnsi="Times New Roman"/>
          <w:sz w:val="24"/>
          <w:szCs w:val="24"/>
        </w:rPr>
      </w:pPr>
      <w:r w:rsidRPr="001A5F6A">
        <w:rPr>
          <w:rFonts w:ascii="Times New Roman" w:hAnsi="Times New Roman"/>
          <w:sz w:val="24"/>
          <w:szCs w:val="24"/>
        </w:rPr>
        <w:t xml:space="preserve">Телефон для справок </w:t>
      </w:r>
      <w:r w:rsidRPr="001A5F6A">
        <w:rPr>
          <w:rFonts w:ascii="Times New Roman" w:hAnsi="Times New Roman"/>
          <w:sz w:val="24"/>
          <w:szCs w:val="24"/>
          <w:lang w:eastAsia="ru-RU"/>
        </w:rPr>
        <w:t xml:space="preserve">ОАО «Электротехнический комплекс»: </w:t>
      </w:r>
      <w:r w:rsidRPr="001A5F6A">
        <w:rPr>
          <w:rFonts w:ascii="Times New Roman" w:hAnsi="Times New Roman"/>
          <w:b/>
          <w:sz w:val="24"/>
          <w:szCs w:val="24"/>
        </w:rPr>
        <w:t xml:space="preserve">8-3812- 65-02-27, 65-34-36, </w:t>
      </w:r>
      <w:r>
        <w:rPr>
          <w:rFonts w:ascii="Times New Roman" w:hAnsi="Times New Roman"/>
          <w:b/>
          <w:sz w:val="24"/>
          <w:szCs w:val="24"/>
        </w:rPr>
        <w:t>60-55-69</w:t>
      </w:r>
      <w:r w:rsidRPr="001A5F6A">
        <w:rPr>
          <w:rFonts w:ascii="Times New Roman" w:hAnsi="Times New Roman"/>
          <w:b/>
          <w:sz w:val="24"/>
          <w:szCs w:val="24"/>
        </w:rPr>
        <w:t>.</w:t>
      </w:r>
    </w:p>
    <w:p w:rsidR="00D438C7" w:rsidRPr="001A5F6A" w:rsidRDefault="00D438C7" w:rsidP="00D438C7">
      <w:pPr>
        <w:autoSpaceDE w:val="0"/>
        <w:autoSpaceDN w:val="0"/>
        <w:adjustRightInd w:val="0"/>
        <w:spacing w:after="0" w:line="240" w:lineRule="auto"/>
        <w:jc w:val="both"/>
        <w:rPr>
          <w:rFonts w:ascii="Times New Roman" w:hAnsi="Times New Roman"/>
          <w:b/>
          <w:sz w:val="24"/>
          <w:szCs w:val="24"/>
        </w:rPr>
      </w:pPr>
      <w:r w:rsidRPr="001A5F6A">
        <w:rPr>
          <w:rFonts w:ascii="Times New Roman" w:hAnsi="Times New Roman"/>
          <w:sz w:val="24"/>
          <w:szCs w:val="24"/>
        </w:rPr>
        <w:t>Адрес электронной почты ОАО «</w:t>
      </w:r>
      <w:r w:rsidRPr="001A5F6A">
        <w:rPr>
          <w:rFonts w:ascii="Times New Roman" w:hAnsi="Times New Roman"/>
          <w:sz w:val="24"/>
          <w:szCs w:val="24"/>
          <w:lang w:eastAsia="ru-RU"/>
        </w:rPr>
        <w:t>Электротехнический комплекс</w:t>
      </w:r>
      <w:r w:rsidRPr="001A5F6A">
        <w:rPr>
          <w:rFonts w:ascii="Times New Roman" w:hAnsi="Times New Roman"/>
          <w:sz w:val="24"/>
          <w:szCs w:val="24"/>
        </w:rPr>
        <w:t>»</w:t>
      </w:r>
      <w:r w:rsidRPr="001A5F6A">
        <w:rPr>
          <w:rFonts w:ascii="Times New Roman" w:hAnsi="Times New Roman"/>
          <w:i/>
          <w:sz w:val="24"/>
          <w:szCs w:val="24"/>
          <w:lang w:eastAsia="ru-RU"/>
        </w:rPr>
        <w:t>:</w:t>
      </w:r>
      <w:r w:rsidRPr="001A5F6A">
        <w:rPr>
          <w:rFonts w:ascii="Times New Roman" w:hAnsi="Times New Roman"/>
          <w:sz w:val="24"/>
          <w:szCs w:val="24"/>
        </w:rPr>
        <w:t xml:space="preserve"> </w:t>
      </w:r>
      <w:hyperlink r:id="rId8" w:history="1">
        <w:r w:rsidRPr="001A5F6A">
          <w:rPr>
            <w:rStyle w:val="af5"/>
            <w:rFonts w:ascii="Times New Roman" w:hAnsi="Times New Roman"/>
            <w:b/>
            <w:sz w:val="24"/>
            <w:szCs w:val="24"/>
            <w:lang w:val="en-US"/>
          </w:rPr>
          <w:t>etk</w:t>
        </w:r>
        <w:r w:rsidRPr="001A5F6A">
          <w:rPr>
            <w:rStyle w:val="af5"/>
            <w:rFonts w:ascii="Times New Roman" w:hAnsi="Times New Roman"/>
            <w:b/>
            <w:sz w:val="24"/>
            <w:szCs w:val="24"/>
          </w:rPr>
          <w:t>.</w:t>
        </w:r>
        <w:r w:rsidRPr="001A5F6A">
          <w:rPr>
            <w:rStyle w:val="af5"/>
            <w:rFonts w:ascii="Times New Roman" w:hAnsi="Times New Roman"/>
            <w:b/>
            <w:sz w:val="24"/>
            <w:szCs w:val="24"/>
            <w:lang w:val="en-US"/>
          </w:rPr>
          <w:t>info</w:t>
        </w:r>
        <w:r w:rsidRPr="001A5F6A">
          <w:rPr>
            <w:rStyle w:val="af5"/>
            <w:rFonts w:ascii="Times New Roman" w:hAnsi="Times New Roman"/>
            <w:b/>
            <w:sz w:val="24"/>
            <w:szCs w:val="24"/>
          </w:rPr>
          <w:t>@</w:t>
        </w:r>
        <w:r w:rsidRPr="001A5F6A">
          <w:rPr>
            <w:rStyle w:val="af5"/>
            <w:rFonts w:ascii="Times New Roman" w:hAnsi="Times New Roman"/>
            <w:b/>
            <w:sz w:val="24"/>
            <w:szCs w:val="24"/>
            <w:lang w:val="en-US"/>
          </w:rPr>
          <w:t>mail</w:t>
        </w:r>
        <w:r w:rsidRPr="001A5F6A">
          <w:rPr>
            <w:rStyle w:val="af5"/>
            <w:rFonts w:ascii="Times New Roman" w:hAnsi="Times New Roman"/>
            <w:b/>
            <w:sz w:val="24"/>
            <w:szCs w:val="24"/>
          </w:rPr>
          <w:t xml:space="preserve">.ru </w:t>
        </w:r>
      </w:hyperlink>
      <w:r w:rsidRPr="001A5F6A">
        <w:rPr>
          <w:rFonts w:ascii="Times New Roman" w:hAnsi="Times New Roman"/>
          <w:b/>
          <w:sz w:val="24"/>
          <w:szCs w:val="24"/>
        </w:rPr>
        <w:t>.</w:t>
      </w:r>
    </w:p>
    <w:p w:rsidR="00D438C7" w:rsidRPr="001A5F6A" w:rsidRDefault="00D438C7" w:rsidP="00D438C7">
      <w:pPr>
        <w:autoSpaceDE w:val="0"/>
        <w:autoSpaceDN w:val="0"/>
        <w:adjustRightInd w:val="0"/>
        <w:spacing w:after="0" w:line="240" w:lineRule="auto"/>
        <w:jc w:val="both"/>
        <w:rPr>
          <w:sz w:val="24"/>
          <w:szCs w:val="24"/>
        </w:rPr>
      </w:pPr>
      <w:r w:rsidRPr="001A5F6A">
        <w:rPr>
          <w:rFonts w:ascii="Times New Roman" w:hAnsi="Times New Roman"/>
          <w:sz w:val="24"/>
          <w:szCs w:val="24"/>
        </w:rPr>
        <w:t>Адрес обслуживания клиентов</w:t>
      </w:r>
      <w:r w:rsidRPr="001A5F6A">
        <w:rPr>
          <w:rStyle w:val="ae"/>
          <w:rFonts w:ascii="Times New Roman" w:hAnsi="Times New Roman"/>
          <w:sz w:val="24"/>
          <w:szCs w:val="24"/>
        </w:rPr>
        <w:footnoteReference w:id="3"/>
      </w:r>
      <w:r w:rsidRPr="001A5F6A">
        <w:rPr>
          <w:rFonts w:ascii="Times New Roman" w:hAnsi="Times New Roman"/>
          <w:sz w:val="24"/>
          <w:szCs w:val="24"/>
        </w:rPr>
        <w:t xml:space="preserve">: </w:t>
      </w:r>
      <w:r w:rsidRPr="001A5F6A">
        <w:rPr>
          <w:rFonts w:ascii="Times New Roman" w:hAnsi="Times New Roman"/>
          <w:b/>
          <w:sz w:val="24"/>
          <w:szCs w:val="24"/>
        </w:rPr>
        <w:t>г. Омск, проспект Мира, 5-б.</w:t>
      </w:r>
    </w:p>
    <w:p w:rsidR="00D438C7" w:rsidRPr="001A5F6A" w:rsidRDefault="00D438C7" w:rsidP="00D438C7">
      <w:pPr>
        <w:autoSpaceDE w:val="0"/>
        <w:autoSpaceDN w:val="0"/>
        <w:adjustRightInd w:val="0"/>
        <w:spacing w:after="0" w:line="240" w:lineRule="auto"/>
        <w:jc w:val="both"/>
      </w:pPr>
    </w:p>
    <w:p w:rsidR="000653F9" w:rsidRPr="005F3C01" w:rsidRDefault="000653F9" w:rsidP="004E4587">
      <w:pPr>
        <w:autoSpaceDE w:val="0"/>
        <w:autoSpaceDN w:val="0"/>
        <w:adjustRightInd w:val="0"/>
        <w:spacing w:after="60" w:line="240" w:lineRule="auto"/>
        <w:ind w:left="709"/>
        <w:jc w:val="both"/>
        <w:rPr>
          <w:sz w:val="24"/>
          <w:szCs w:val="24"/>
        </w:rPr>
      </w:pPr>
    </w:p>
    <w:sectPr w:rsidR="000653F9" w:rsidRPr="005F3C01" w:rsidSect="00D438C7">
      <w:headerReference w:type="default" r:id="rId9"/>
      <w:footerReference w:type="default" r:id="rId10"/>
      <w:pgSz w:w="16838" w:h="11906" w:orient="landscape"/>
      <w:pgMar w:top="993"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633" w:rsidRDefault="00940633" w:rsidP="00DC7CA8">
      <w:pPr>
        <w:spacing w:after="0" w:line="240" w:lineRule="auto"/>
      </w:pPr>
      <w:r>
        <w:separator/>
      </w:r>
    </w:p>
  </w:endnote>
  <w:endnote w:type="continuationSeparator" w:id="0">
    <w:p w:rsidR="00940633" w:rsidRDefault="00940633" w:rsidP="00DC7CA8">
      <w:pPr>
        <w:spacing w:after="0" w:line="240" w:lineRule="auto"/>
      </w:pPr>
      <w:r>
        <w:continuationSeparator/>
      </w:r>
    </w:p>
  </w:endnote>
  <w:endnote w:type="continuationNotice" w:id="1">
    <w:p w:rsidR="00940633" w:rsidRDefault="00940633">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27" w:rsidRDefault="00AA282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633" w:rsidRDefault="00940633" w:rsidP="00DC7CA8">
      <w:pPr>
        <w:spacing w:after="0" w:line="240" w:lineRule="auto"/>
      </w:pPr>
      <w:r>
        <w:separator/>
      </w:r>
    </w:p>
  </w:footnote>
  <w:footnote w:type="continuationSeparator" w:id="0">
    <w:p w:rsidR="00940633" w:rsidRDefault="00940633" w:rsidP="00DC7CA8">
      <w:pPr>
        <w:spacing w:after="0" w:line="240" w:lineRule="auto"/>
      </w:pPr>
      <w:r>
        <w:continuationSeparator/>
      </w:r>
    </w:p>
  </w:footnote>
  <w:footnote w:type="continuationNotice" w:id="1">
    <w:p w:rsidR="00940633" w:rsidRDefault="00940633">
      <w:pPr>
        <w:spacing w:after="0" w:line="240" w:lineRule="auto"/>
      </w:pPr>
    </w:p>
  </w:footnote>
  <w:footnote w:id="2">
    <w:p w:rsidR="00272907" w:rsidRPr="005F3C01" w:rsidRDefault="00272907" w:rsidP="005F3C01">
      <w:pPr>
        <w:autoSpaceDE w:val="0"/>
        <w:autoSpaceDN w:val="0"/>
        <w:adjustRightInd w:val="0"/>
        <w:spacing w:after="0" w:line="240" w:lineRule="auto"/>
        <w:jc w:val="both"/>
        <w:rPr>
          <w:sz w:val="20"/>
          <w:szCs w:val="20"/>
        </w:rPr>
      </w:pPr>
      <w:r>
        <w:rPr>
          <w:rStyle w:val="ae"/>
        </w:rPr>
        <w:footnoteRef/>
      </w:r>
      <w:r>
        <w:t xml:space="preserve"> </w:t>
      </w:r>
      <w:r w:rsidRPr="005F3C0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5F3C01">
        <w:rPr>
          <w:rFonts w:ascii="Times New Roman" w:hAnsi="Times New Roman" w:cs="Times New Roman"/>
          <w:sz w:val="20"/>
          <w:szCs w:val="20"/>
        </w:rPr>
        <w:t>постановлением Правительства РФ от 04.05.2012 № 442</w:t>
      </w:r>
    </w:p>
  </w:footnote>
  <w:footnote w:id="3">
    <w:p w:rsidR="00D438C7" w:rsidRDefault="00D438C7" w:rsidP="00D438C7">
      <w:pPr>
        <w:pStyle w:val="ac"/>
      </w:pPr>
      <w:r w:rsidRPr="00166A53">
        <w:rPr>
          <w:rStyle w:val="ae"/>
          <w:rFonts w:ascii="Times New Roman" w:hAnsi="Times New Roman"/>
          <w:sz w:val="24"/>
          <w:szCs w:val="24"/>
        </w:rPr>
        <w:footnoteRef/>
      </w:r>
      <w:r w:rsidRPr="00166A53">
        <w:rPr>
          <w:rFonts w:ascii="Times New Roman" w:hAnsi="Times New Roman"/>
          <w:sz w:val="24"/>
          <w:szCs w:val="24"/>
        </w:rPr>
        <w:t xml:space="preserve"> Подробно с режимом работы </w:t>
      </w:r>
      <w:r w:rsidRPr="006D2CEE">
        <w:rPr>
          <w:rFonts w:ascii="Times New Roman" w:hAnsi="Times New Roman"/>
          <w:sz w:val="24"/>
          <w:szCs w:val="24"/>
        </w:rPr>
        <w:t>ОАО “</w:t>
      </w:r>
      <w:r>
        <w:rPr>
          <w:rFonts w:ascii="Times New Roman" w:hAnsi="Times New Roman"/>
          <w:sz w:val="24"/>
          <w:szCs w:val="24"/>
        </w:rPr>
        <w:t>Электротехнический комплекс»</w:t>
      </w:r>
      <w:r w:rsidRPr="00166A53">
        <w:rPr>
          <w:rFonts w:ascii="Times New Roman" w:hAnsi="Times New Roman"/>
          <w:sz w:val="24"/>
          <w:szCs w:val="24"/>
        </w:rPr>
        <w:t xml:space="preserve"> можно ознакомиться на сайте компании </w:t>
      </w:r>
      <w:hyperlink r:id="rId1" w:history="1">
        <w:r w:rsidRPr="006D2CEE">
          <w:rPr>
            <w:rStyle w:val="af5"/>
            <w:rFonts w:ascii="Times New Roman" w:hAnsi="Times New Roman"/>
            <w:sz w:val="24"/>
            <w:szCs w:val="24"/>
          </w:rPr>
          <w:t>www.energocomplex55.ru</w:t>
        </w:r>
      </w:hyperlink>
      <w:r w:rsidRPr="006D2CEE">
        <w:rPr>
          <w:rFonts w:ascii="Times New Roman" w:hAnsi="Times New Roman"/>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27" w:rsidRDefault="00AA282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 w:id="1"/>
  </w:footnotePr>
  <w:endnotePr>
    <w:endnote w:id="-1"/>
    <w:endnote w:id="0"/>
    <w:endnote w:id="1"/>
  </w:endnotePr>
  <w:compat/>
  <w:rsids>
    <w:rsidRoot w:val="000653F9"/>
    <w:rsid w:val="000164EE"/>
    <w:rsid w:val="00022F24"/>
    <w:rsid w:val="00026177"/>
    <w:rsid w:val="00035607"/>
    <w:rsid w:val="00041665"/>
    <w:rsid w:val="0004298F"/>
    <w:rsid w:val="00054003"/>
    <w:rsid w:val="000653F9"/>
    <w:rsid w:val="000B7B09"/>
    <w:rsid w:val="000D0D64"/>
    <w:rsid w:val="000E2AD7"/>
    <w:rsid w:val="00106015"/>
    <w:rsid w:val="00143C0C"/>
    <w:rsid w:val="001452AF"/>
    <w:rsid w:val="001625D6"/>
    <w:rsid w:val="00166D9F"/>
    <w:rsid w:val="001700D2"/>
    <w:rsid w:val="0017462F"/>
    <w:rsid w:val="00177362"/>
    <w:rsid w:val="00177B9D"/>
    <w:rsid w:val="00180DA0"/>
    <w:rsid w:val="00182892"/>
    <w:rsid w:val="001830A9"/>
    <w:rsid w:val="00186FB8"/>
    <w:rsid w:val="00187BF5"/>
    <w:rsid w:val="0019014D"/>
    <w:rsid w:val="001A09A2"/>
    <w:rsid w:val="001A5832"/>
    <w:rsid w:val="001B4723"/>
    <w:rsid w:val="001C47BE"/>
    <w:rsid w:val="001C63E0"/>
    <w:rsid w:val="001D45A0"/>
    <w:rsid w:val="0022079E"/>
    <w:rsid w:val="0022778E"/>
    <w:rsid w:val="00231805"/>
    <w:rsid w:val="00233155"/>
    <w:rsid w:val="00242530"/>
    <w:rsid w:val="00246177"/>
    <w:rsid w:val="00251BEC"/>
    <w:rsid w:val="00272907"/>
    <w:rsid w:val="00294A69"/>
    <w:rsid w:val="002963F2"/>
    <w:rsid w:val="002978AF"/>
    <w:rsid w:val="002A3BA1"/>
    <w:rsid w:val="002F4276"/>
    <w:rsid w:val="003027AF"/>
    <w:rsid w:val="00307A2C"/>
    <w:rsid w:val="003134B3"/>
    <w:rsid w:val="003146E9"/>
    <w:rsid w:val="00315196"/>
    <w:rsid w:val="003158E1"/>
    <w:rsid w:val="0032200A"/>
    <w:rsid w:val="00326673"/>
    <w:rsid w:val="00326913"/>
    <w:rsid w:val="00326E9E"/>
    <w:rsid w:val="00342925"/>
    <w:rsid w:val="00347A15"/>
    <w:rsid w:val="00397B62"/>
    <w:rsid w:val="003A6292"/>
    <w:rsid w:val="003C556E"/>
    <w:rsid w:val="003D4D3D"/>
    <w:rsid w:val="003F5301"/>
    <w:rsid w:val="00402DC7"/>
    <w:rsid w:val="00405006"/>
    <w:rsid w:val="00405B1D"/>
    <w:rsid w:val="00422B6E"/>
    <w:rsid w:val="00443775"/>
    <w:rsid w:val="004A4D60"/>
    <w:rsid w:val="004D2DB7"/>
    <w:rsid w:val="004E2810"/>
    <w:rsid w:val="004E3074"/>
    <w:rsid w:val="004E4587"/>
    <w:rsid w:val="004F4FF1"/>
    <w:rsid w:val="00507A0C"/>
    <w:rsid w:val="00520F42"/>
    <w:rsid w:val="00557796"/>
    <w:rsid w:val="0056238D"/>
    <w:rsid w:val="00566514"/>
    <w:rsid w:val="0057110C"/>
    <w:rsid w:val="00573CFF"/>
    <w:rsid w:val="00575D41"/>
    <w:rsid w:val="00584BD8"/>
    <w:rsid w:val="00587AB6"/>
    <w:rsid w:val="00590015"/>
    <w:rsid w:val="005A012A"/>
    <w:rsid w:val="005B14AA"/>
    <w:rsid w:val="005B627E"/>
    <w:rsid w:val="005B7412"/>
    <w:rsid w:val="005C22A7"/>
    <w:rsid w:val="005E153E"/>
    <w:rsid w:val="005E50F0"/>
    <w:rsid w:val="005F3335"/>
    <w:rsid w:val="005F3C01"/>
    <w:rsid w:val="00620C3D"/>
    <w:rsid w:val="00640439"/>
    <w:rsid w:val="00643AB9"/>
    <w:rsid w:val="0065173C"/>
    <w:rsid w:val="00654650"/>
    <w:rsid w:val="006642D2"/>
    <w:rsid w:val="00666E7C"/>
    <w:rsid w:val="00677F5A"/>
    <w:rsid w:val="0068024C"/>
    <w:rsid w:val="00690D12"/>
    <w:rsid w:val="006940E1"/>
    <w:rsid w:val="006D2507"/>
    <w:rsid w:val="006D2EDE"/>
    <w:rsid w:val="006F2514"/>
    <w:rsid w:val="006F446F"/>
    <w:rsid w:val="006F587F"/>
    <w:rsid w:val="007017EC"/>
    <w:rsid w:val="00711D93"/>
    <w:rsid w:val="00740AC5"/>
    <w:rsid w:val="00741823"/>
    <w:rsid w:val="00762B2B"/>
    <w:rsid w:val="00764AB1"/>
    <w:rsid w:val="00765C7F"/>
    <w:rsid w:val="00765CEC"/>
    <w:rsid w:val="00776C32"/>
    <w:rsid w:val="007823C8"/>
    <w:rsid w:val="0078335E"/>
    <w:rsid w:val="00784A38"/>
    <w:rsid w:val="007B0584"/>
    <w:rsid w:val="007D73B0"/>
    <w:rsid w:val="007E41FA"/>
    <w:rsid w:val="007F7353"/>
    <w:rsid w:val="00824E68"/>
    <w:rsid w:val="008254DA"/>
    <w:rsid w:val="0082713E"/>
    <w:rsid w:val="00846D91"/>
    <w:rsid w:val="008742FE"/>
    <w:rsid w:val="00874836"/>
    <w:rsid w:val="00884F39"/>
    <w:rsid w:val="00886645"/>
    <w:rsid w:val="008A0889"/>
    <w:rsid w:val="008A1EF7"/>
    <w:rsid w:val="008A4645"/>
    <w:rsid w:val="008C2E25"/>
    <w:rsid w:val="008E16CB"/>
    <w:rsid w:val="008E4485"/>
    <w:rsid w:val="008E6683"/>
    <w:rsid w:val="008F5D8C"/>
    <w:rsid w:val="009001F4"/>
    <w:rsid w:val="00903187"/>
    <w:rsid w:val="00904E58"/>
    <w:rsid w:val="009064E3"/>
    <w:rsid w:val="00940633"/>
    <w:rsid w:val="00944EE8"/>
    <w:rsid w:val="00950292"/>
    <w:rsid w:val="00956012"/>
    <w:rsid w:val="00997522"/>
    <w:rsid w:val="009A78FF"/>
    <w:rsid w:val="009C14D6"/>
    <w:rsid w:val="009D7322"/>
    <w:rsid w:val="009E538E"/>
    <w:rsid w:val="00A05CC8"/>
    <w:rsid w:val="00A06C6A"/>
    <w:rsid w:val="00A210DB"/>
    <w:rsid w:val="00A26691"/>
    <w:rsid w:val="00A44E14"/>
    <w:rsid w:val="00A46138"/>
    <w:rsid w:val="00A474DD"/>
    <w:rsid w:val="00A56F88"/>
    <w:rsid w:val="00A66E4F"/>
    <w:rsid w:val="00A72C95"/>
    <w:rsid w:val="00AA2827"/>
    <w:rsid w:val="00AD44CF"/>
    <w:rsid w:val="00AE392E"/>
    <w:rsid w:val="00AF5495"/>
    <w:rsid w:val="00AF67C0"/>
    <w:rsid w:val="00B118E9"/>
    <w:rsid w:val="00B464CB"/>
    <w:rsid w:val="00B8308D"/>
    <w:rsid w:val="00B96DA2"/>
    <w:rsid w:val="00BA531D"/>
    <w:rsid w:val="00BB7AE2"/>
    <w:rsid w:val="00BD087E"/>
    <w:rsid w:val="00BD1C7B"/>
    <w:rsid w:val="00BE702F"/>
    <w:rsid w:val="00C02B7A"/>
    <w:rsid w:val="00C05817"/>
    <w:rsid w:val="00C05A4F"/>
    <w:rsid w:val="00C1276E"/>
    <w:rsid w:val="00C168E1"/>
    <w:rsid w:val="00C20511"/>
    <w:rsid w:val="00C2064F"/>
    <w:rsid w:val="00C21118"/>
    <w:rsid w:val="00C25F4B"/>
    <w:rsid w:val="00C379FF"/>
    <w:rsid w:val="00C454A5"/>
    <w:rsid w:val="00C45AAE"/>
    <w:rsid w:val="00C56E9C"/>
    <w:rsid w:val="00C65867"/>
    <w:rsid w:val="00C74D96"/>
    <w:rsid w:val="00C8583C"/>
    <w:rsid w:val="00C8718B"/>
    <w:rsid w:val="00CA1A51"/>
    <w:rsid w:val="00CA542E"/>
    <w:rsid w:val="00CB7574"/>
    <w:rsid w:val="00CC1A0A"/>
    <w:rsid w:val="00CC211B"/>
    <w:rsid w:val="00CF1E2B"/>
    <w:rsid w:val="00D424FC"/>
    <w:rsid w:val="00D438C7"/>
    <w:rsid w:val="00D449D5"/>
    <w:rsid w:val="00D47D80"/>
    <w:rsid w:val="00D6592D"/>
    <w:rsid w:val="00D679FC"/>
    <w:rsid w:val="00D75D25"/>
    <w:rsid w:val="00D870EE"/>
    <w:rsid w:val="00D91636"/>
    <w:rsid w:val="00DC7CA8"/>
    <w:rsid w:val="00DE3FD8"/>
    <w:rsid w:val="00DF08F3"/>
    <w:rsid w:val="00DF4464"/>
    <w:rsid w:val="00E01C37"/>
    <w:rsid w:val="00E36F56"/>
    <w:rsid w:val="00E5056E"/>
    <w:rsid w:val="00E53D9B"/>
    <w:rsid w:val="00E557B2"/>
    <w:rsid w:val="00E9367D"/>
    <w:rsid w:val="00EA53BE"/>
    <w:rsid w:val="00EB1CA6"/>
    <w:rsid w:val="00EE2C63"/>
    <w:rsid w:val="00EE73BD"/>
    <w:rsid w:val="00F04E64"/>
    <w:rsid w:val="00F20711"/>
    <w:rsid w:val="00F87578"/>
    <w:rsid w:val="00F9128F"/>
    <w:rsid w:val="00FA4EEA"/>
    <w:rsid w:val="00FA71E0"/>
    <w:rsid w:val="00FC1E5A"/>
    <w:rsid w:val="00FD1933"/>
    <w:rsid w:val="00FE0A69"/>
    <w:rsid w:val="00FF1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unhideWhenUsed/>
    <w:rsid w:val="002207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semiHidden/>
    <w:unhideWhenUsed/>
    <w:rsid w:val="0022079E"/>
    <w:rPr>
      <w:color w:val="0000FF"/>
      <w:u w:val="single"/>
    </w:rPr>
  </w:style>
</w:styles>
</file>

<file path=word/webSettings.xml><?xml version="1.0" encoding="utf-8"?>
<w:webSettings xmlns:r="http://schemas.openxmlformats.org/officeDocument/2006/relationships" xmlns:w="http://schemas.openxmlformats.org/wordprocessingml/2006/main">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k.info@mail.ru%2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nergocomplex5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DB85-51B3-410E-BD7E-38DDC973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Газданова М.А.</dc:creator>
  <cp:lastModifiedBy>Ивлева Лилия Васильевна</cp:lastModifiedBy>
  <cp:revision>7</cp:revision>
  <cp:lastPrinted>2014-08-01T11:40:00Z</cp:lastPrinted>
  <dcterms:created xsi:type="dcterms:W3CDTF">2015-06-02T07:27:00Z</dcterms:created>
  <dcterms:modified xsi:type="dcterms:W3CDTF">2016-05-16T08:13:00Z</dcterms:modified>
</cp:coreProperties>
</file>